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5CFF" w14:textId="492DE7A6" w:rsidR="00273F05" w:rsidRPr="00C71549" w:rsidRDefault="00C31FE2" w:rsidP="0026161F">
      <w:pPr>
        <w:pStyle w:val="Ttulo1"/>
        <w:jc w:val="left"/>
        <w:rPr>
          <w:rFonts w:ascii="Arial" w:hAnsi="Arial" w:cs="Arial"/>
          <w:b/>
          <w:bCs/>
          <w:u w:val="none"/>
        </w:rPr>
      </w:pPr>
      <w:bookmarkStart w:id="0" w:name="_Toc43538867"/>
      <w:r w:rsidRPr="00C71549">
        <w:rPr>
          <w:rFonts w:ascii="Arial" w:hAnsi="Arial" w:cs="Arial"/>
          <w:b/>
          <w:bCs/>
          <w:u w:val="none"/>
        </w:rPr>
        <w:t>ANEXO III - TERMO DE REFERÊNCIA E PROJETO BÁSICO</w:t>
      </w:r>
      <w:r w:rsidR="008879B6" w:rsidRPr="00C71549">
        <w:rPr>
          <w:rFonts w:ascii="Arial" w:hAnsi="Arial" w:cs="Arial"/>
          <w:b/>
          <w:bCs/>
          <w:u w:val="none"/>
        </w:rPr>
        <w:t xml:space="preserve"> – PARTE I (COMPRAS)</w:t>
      </w:r>
      <w:bookmarkEnd w:id="0"/>
    </w:p>
    <w:p w14:paraId="3904312C" w14:textId="70DF25DF" w:rsidR="00F30EE8" w:rsidRPr="00C71549" w:rsidRDefault="00F30EE8" w:rsidP="00F30EE8">
      <w:pPr>
        <w:rPr>
          <w:sz w:val="22"/>
        </w:rPr>
      </w:pPr>
    </w:p>
    <w:p w14:paraId="500EC9DE" w14:textId="77777777" w:rsidR="008879B6" w:rsidRPr="00C71549" w:rsidRDefault="008879B6" w:rsidP="008879B6">
      <w:pPr>
        <w:spacing w:after="0" w:line="240" w:lineRule="auto"/>
        <w:ind w:left="0" w:firstLine="0"/>
        <w:jc w:val="left"/>
        <w:rPr>
          <w:rFonts w:ascii="Arial" w:eastAsia="Times New Roman" w:hAnsi="Arial" w:cs="Arial"/>
          <w:color w:val="auto"/>
          <w:sz w:val="22"/>
        </w:rPr>
      </w:pPr>
    </w:p>
    <w:p w14:paraId="14142C34" w14:textId="77777777" w:rsidR="00353CB0" w:rsidRPr="00C71549" w:rsidRDefault="00353CB0" w:rsidP="00353CB0">
      <w:pPr>
        <w:pStyle w:val="Citao"/>
        <w:jc w:val="center"/>
        <w:rPr>
          <w:rFonts w:cs="Arial"/>
          <w:b/>
          <w:sz w:val="22"/>
          <w:szCs w:val="22"/>
        </w:rPr>
      </w:pPr>
      <w:r w:rsidRPr="00C71549">
        <w:rPr>
          <w:rFonts w:cs="Arial"/>
          <w:b/>
          <w:sz w:val="22"/>
          <w:szCs w:val="22"/>
        </w:rPr>
        <w:t>NOTAS EXPLICATIVAS</w:t>
      </w:r>
    </w:p>
    <w:p w14:paraId="64F071D3" w14:textId="77777777" w:rsidR="00353CB0" w:rsidRPr="00C71549" w:rsidRDefault="00353CB0" w:rsidP="00353CB0">
      <w:pPr>
        <w:pStyle w:val="Citao"/>
        <w:rPr>
          <w:rFonts w:cs="Arial"/>
          <w:sz w:val="22"/>
          <w:szCs w:val="22"/>
        </w:rPr>
      </w:pPr>
      <w:r w:rsidRPr="00C71549">
        <w:rPr>
          <w:rFonts w:cs="Arial"/>
          <w:sz w:val="22"/>
          <w:szCs w:val="22"/>
        </w:rPr>
        <w:t xml:space="preserve">O presente modelo de Termo de Referência procura </w:t>
      </w:r>
      <w:proofErr w:type="spellStart"/>
      <w:r w:rsidRPr="00C71549">
        <w:rPr>
          <w:rFonts w:cs="Arial"/>
          <w:sz w:val="22"/>
          <w:szCs w:val="22"/>
        </w:rPr>
        <w:t>fornecer</w:t>
      </w:r>
      <w:proofErr w:type="spellEnd"/>
      <w:r w:rsidRPr="00C71549">
        <w:rPr>
          <w:rFonts w:cs="Arial"/>
          <w:sz w:val="22"/>
          <w:szCs w:val="22"/>
        </w:rPr>
        <w:t xml:space="preserve"> uma base formal para a definição do objeto e condições da licitação e contratação. Contudo, este é o documento que mais terá variação de conteúdo, conforme órgão ou entidade pública e, principalmente, o objeto licitatório. Assim, a Administração não deve prender-se ao texto apresentado, competindo definir os pontos fundamentais do certame e da contratação, sempre de forma clara e objetiva. </w:t>
      </w:r>
    </w:p>
    <w:p w14:paraId="774B888F" w14:textId="77777777" w:rsidR="00353CB0" w:rsidRPr="00C71549" w:rsidRDefault="00353CB0" w:rsidP="00353CB0">
      <w:pPr>
        <w:pStyle w:val="Citao"/>
        <w:rPr>
          <w:rFonts w:cs="Arial"/>
          <w:sz w:val="22"/>
          <w:szCs w:val="22"/>
        </w:rPr>
      </w:pPr>
      <w:r w:rsidRPr="00C71549">
        <w:rPr>
          <w:rFonts w:cs="Arial"/>
          <w:sz w:val="22"/>
          <w:szCs w:val="22"/>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27C2DF25" w14:textId="77777777" w:rsidR="00353CB0" w:rsidRPr="00C71549" w:rsidRDefault="00353CB0" w:rsidP="00353CB0">
      <w:pPr>
        <w:pStyle w:val="Citao"/>
        <w:rPr>
          <w:rFonts w:cs="Arial"/>
          <w:sz w:val="22"/>
          <w:szCs w:val="22"/>
        </w:rPr>
      </w:pPr>
      <w:r w:rsidRPr="00C71549">
        <w:rPr>
          <w:rFonts w:cs="Arial"/>
          <w:sz w:val="22"/>
          <w:szCs w:val="22"/>
        </w:rPr>
        <w:t>Alguns itens receberão notas explicativas destacadas para compreensão do agente ou setor responsável pela elaboração do Termo de Referência, que deverão ser devidamente suprimidas ao se finalizar o documento na versão original. O registro das atualizações feitas (“Nota de Atualização”) em cada versão pode ser obtido na página principal dos modelos de licitações e contratos no sítio eletrônico da AGU.</w:t>
      </w:r>
    </w:p>
    <w:p w14:paraId="79F75864" w14:textId="77777777" w:rsidR="00353CB0" w:rsidRPr="00C71549" w:rsidRDefault="00353CB0" w:rsidP="00353CB0">
      <w:pPr>
        <w:pStyle w:val="Citao"/>
        <w:spacing w:line="276" w:lineRule="auto"/>
        <w:rPr>
          <w:rFonts w:cs="Arial"/>
          <w:sz w:val="22"/>
          <w:szCs w:val="22"/>
        </w:rPr>
      </w:pPr>
      <w:r w:rsidRPr="00C71549">
        <w:rPr>
          <w:rFonts w:cs="Arial"/>
          <w:sz w:val="22"/>
          <w:szCs w:val="22"/>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2106FF3F" w14:textId="77777777" w:rsidR="00353CB0" w:rsidRPr="00C71549" w:rsidRDefault="00353CB0" w:rsidP="00353CB0">
      <w:pPr>
        <w:pStyle w:val="Citao"/>
        <w:spacing w:line="276" w:lineRule="auto"/>
        <w:rPr>
          <w:rFonts w:cs="Arial"/>
          <w:color w:val="000000" w:themeColor="text1"/>
          <w:sz w:val="22"/>
          <w:szCs w:val="22"/>
        </w:rPr>
      </w:pPr>
      <w:r w:rsidRPr="00C71549">
        <w:rPr>
          <w:rFonts w:cs="Arial"/>
          <w:b/>
          <w:sz w:val="22"/>
          <w:szCs w:val="22"/>
        </w:rPr>
        <w:t xml:space="preserve">Sistema de Cores: </w:t>
      </w:r>
      <w:r w:rsidRPr="00C71549">
        <w:rPr>
          <w:rFonts w:cs="Arial"/>
          <w:sz w:val="22"/>
          <w:szCs w:val="22"/>
        </w:rPr>
        <w:t xml:space="preserve">Para facilitar o ajuste do edital ao tipo de contratação, algumas cláusulas foram destacadas com cores distintas, devendo ser </w:t>
      </w:r>
      <w:r w:rsidRPr="00C71549">
        <w:rPr>
          <w:rFonts w:cs="Arial"/>
          <w:color w:val="000000" w:themeColor="text1"/>
          <w:sz w:val="22"/>
          <w:szCs w:val="22"/>
        </w:rPr>
        <w:t>removidas ou mantidas em cada caso da seguinte forma:</w:t>
      </w:r>
    </w:p>
    <w:p w14:paraId="247AE4BD" w14:textId="77777777" w:rsidR="00353CB0" w:rsidRPr="00C71549" w:rsidRDefault="00353CB0" w:rsidP="00353CB0">
      <w:pPr>
        <w:pStyle w:val="Citao"/>
        <w:spacing w:line="276" w:lineRule="auto"/>
        <w:rPr>
          <w:rFonts w:cs="Arial"/>
          <w:color w:val="000000" w:themeColor="text1"/>
          <w:sz w:val="22"/>
          <w:szCs w:val="22"/>
        </w:rPr>
      </w:pPr>
      <w:r w:rsidRPr="00C71549">
        <w:rPr>
          <w:rFonts w:cs="Arial"/>
          <w:color w:val="000000" w:themeColor="text1"/>
          <w:sz w:val="22"/>
          <w:szCs w:val="22"/>
        </w:rPr>
        <w:t xml:space="preserve">- Se não for utilizado o sistema de registro de preços, exclua todas as disposições destacadas em </w:t>
      </w:r>
      <w:r w:rsidRPr="00C71549">
        <w:rPr>
          <w:rFonts w:cs="Arial"/>
          <w:color w:val="auto"/>
          <w:sz w:val="22"/>
          <w:szCs w:val="22"/>
        </w:rPr>
        <w:t xml:space="preserve">azul. Se </w:t>
      </w:r>
      <w:r w:rsidRPr="00C71549">
        <w:rPr>
          <w:rFonts w:cs="Arial"/>
          <w:color w:val="000000" w:themeColor="text1"/>
          <w:sz w:val="22"/>
          <w:szCs w:val="22"/>
        </w:rPr>
        <w:t>for adotado o SRP, mantenha tais cláusulas</w:t>
      </w:r>
    </w:p>
    <w:p w14:paraId="19A5D9C4" w14:textId="77777777" w:rsidR="00353CB0" w:rsidRPr="00C71549" w:rsidRDefault="00353CB0" w:rsidP="00353CB0">
      <w:pPr>
        <w:pStyle w:val="Citao"/>
        <w:spacing w:line="276" w:lineRule="auto"/>
        <w:rPr>
          <w:rFonts w:cs="Arial"/>
          <w:color w:val="000000" w:themeColor="text1"/>
          <w:sz w:val="22"/>
          <w:szCs w:val="22"/>
        </w:rPr>
      </w:pPr>
      <w:r w:rsidRPr="00C71549">
        <w:rPr>
          <w:rFonts w:cs="Arial"/>
          <w:color w:val="000000" w:themeColor="text1"/>
          <w:sz w:val="22"/>
          <w:szCs w:val="22"/>
        </w:rPr>
        <w:t>As demais cláusulas facultativas estão em vermelho, devendo ser consideradas individualmente</w:t>
      </w:r>
    </w:p>
    <w:p w14:paraId="0A9FE309" w14:textId="77777777" w:rsidR="00353CB0" w:rsidRPr="00C71549" w:rsidRDefault="00353CB0" w:rsidP="00353CB0">
      <w:pPr>
        <w:rPr>
          <w:sz w:val="22"/>
          <w:lang w:eastAsia="en-US"/>
        </w:rPr>
      </w:pPr>
    </w:p>
    <w:p w14:paraId="32D597E7" w14:textId="77777777" w:rsidR="00353CB0" w:rsidRPr="00C71549" w:rsidRDefault="00353CB0" w:rsidP="00353CB0">
      <w:pPr>
        <w:spacing w:after="120" w:line="276" w:lineRule="auto"/>
        <w:ind w:right="-15"/>
        <w:rPr>
          <w:rFonts w:cs="Arial"/>
          <w:b/>
          <w:bCs/>
          <w:sz w:val="22"/>
        </w:rPr>
      </w:pPr>
    </w:p>
    <w:p w14:paraId="47314545" w14:textId="77777777" w:rsidR="00353CB0" w:rsidRPr="00C71549" w:rsidRDefault="00353CB0" w:rsidP="00614C5B">
      <w:pPr>
        <w:ind w:left="0"/>
        <w:jc w:val="center"/>
        <w:rPr>
          <w:rFonts w:cs="Arial"/>
          <w:b/>
          <w:bCs/>
          <w:sz w:val="22"/>
        </w:rPr>
      </w:pPr>
      <w:r w:rsidRPr="00C71549">
        <w:rPr>
          <w:rFonts w:cs="Arial"/>
          <w:b/>
          <w:bCs/>
          <w:sz w:val="22"/>
        </w:rPr>
        <w:t>MODELO DE TERMO DE REFERÊNCIA</w:t>
      </w:r>
    </w:p>
    <w:p w14:paraId="24E34CE0" w14:textId="77777777" w:rsidR="00353CB0" w:rsidRPr="00C71549" w:rsidRDefault="00353CB0" w:rsidP="00614C5B">
      <w:pPr>
        <w:ind w:left="0"/>
        <w:jc w:val="center"/>
        <w:rPr>
          <w:rFonts w:cs="Arial"/>
          <w:b/>
          <w:bCs/>
          <w:iCs/>
          <w:sz w:val="22"/>
        </w:rPr>
      </w:pPr>
      <w:r w:rsidRPr="00C71549">
        <w:rPr>
          <w:rFonts w:cs="Arial"/>
          <w:b/>
          <w:bCs/>
          <w:iCs/>
          <w:sz w:val="22"/>
        </w:rPr>
        <w:t>(COMPRAS)</w:t>
      </w:r>
    </w:p>
    <w:p w14:paraId="3F14A164" w14:textId="77777777" w:rsidR="00353CB0" w:rsidRPr="00C71549" w:rsidRDefault="00353CB0" w:rsidP="00614C5B">
      <w:pPr>
        <w:spacing w:line="276" w:lineRule="auto"/>
        <w:ind w:left="0"/>
        <w:jc w:val="center"/>
        <w:rPr>
          <w:rFonts w:cs="Arial"/>
          <w:b/>
          <w:bCs/>
          <w:sz w:val="22"/>
        </w:rPr>
      </w:pPr>
      <w:r w:rsidRPr="00C71549">
        <w:rPr>
          <w:rFonts w:cs="Arial"/>
          <w:b/>
          <w:bCs/>
          <w:sz w:val="22"/>
        </w:rPr>
        <w:t xml:space="preserve">(Processo Administrativo </w:t>
      </w:r>
      <w:proofErr w:type="spellStart"/>
      <w:r w:rsidRPr="00C71549">
        <w:rPr>
          <w:rFonts w:cs="Arial"/>
          <w:b/>
          <w:bCs/>
          <w:sz w:val="22"/>
        </w:rPr>
        <w:t>n.°</w:t>
      </w:r>
      <w:proofErr w:type="spellEnd"/>
      <w:r w:rsidRPr="00C71549">
        <w:rPr>
          <w:rFonts w:cs="Arial"/>
          <w:b/>
          <w:bCs/>
          <w:sz w:val="22"/>
        </w:rPr>
        <w:t>...........)</w:t>
      </w:r>
    </w:p>
    <w:p w14:paraId="15803F2A" w14:textId="77777777" w:rsidR="00353CB0" w:rsidRPr="00C71549" w:rsidRDefault="00353CB0" w:rsidP="00353CB0">
      <w:pPr>
        <w:spacing w:after="120" w:line="276" w:lineRule="auto"/>
        <w:ind w:right="-15"/>
        <w:jc w:val="center"/>
        <w:rPr>
          <w:rFonts w:cs="Arial"/>
          <w:b/>
          <w:bCs/>
          <w:sz w:val="22"/>
        </w:rPr>
      </w:pPr>
    </w:p>
    <w:p w14:paraId="7403ECD2" w14:textId="77777777" w:rsidR="00353CB0" w:rsidRPr="00C71549" w:rsidRDefault="00353CB0" w:rsidP="00A11791">
      <w:pPr>
        <w:pStyle w:val="Nivel1"/>
        <w:ind w:left="567" w:hanging="567"/>
        <w:outlineLvl w:val="9"/>
        <w:rPr>
          <w:sz w:val="22"/>
          <w:szCs w:val="22"/>
        </w:rPr>
      </w:pPr>
      <w:bookmarkStart w:id="1" w:name="_Hlk44080262"/>
      <w:r w:rsidRPr="00C71549">
        <w:rPr>
          <w:sz w:val="22"/>
          <w:szCs w:val="22"/>
        </w:rPr>
        <w:t>DO OBJETO</w:t>
      </w:r>
    </w:p>
    <w:p w14:paraId="55A127D4"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xml:space="preserve">: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w:t>
      </w:r>
      <w:r w:rsidRPr="00C71549">
        <w:rPr>
          <w:rFonts w:cs="Arial"/>
          <w:sz w:val="22"/>
          <w:szCs w:val="22"/>
        </w:rPr>
        <w:lastRenderedPageBreak/>
        <w:t>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2281CD74" w14:textId="77777777" w:rsidR="00353CB0" w:rsidRPr="00C71549" w:rsidRDefault="00353CB0" w:rsidP="00353CB0">
      <w:pPr>
        <w:pStyle w:val="Citao"/>
        <w:rPr>
          <w:rFonts w:cs="Arial"/>
          <w:sz w:val="22"/>
          <w:szCs w:val="22"/>
        </w:rPr>
      </w:pPr>
      <w:r w:rsidRPr="00C71549">
        <w:rPr>
          <w:rFonts w:cs="Arial"/>
          <w:sz w:val="22"/>
          <w:szCs w:val="22"/>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68B3A205" w14:textId="77777777" w:rsidR="00353CB0" w:rsidRPr="00C71549" w:rsidRDefault="00353CB0" w:rsidP="00353CB0">
      <w:pPr>
        <w:pStyle w:val="Citao"/>
        <w:rPr>
          <w:rFonts w:cs="Arial"/>
          <w:sz w:val="22"/>
          <w:szCs w:val="22"/>
        </w:rPr>
      </w:pPr>
      <w:r w:rsidRPr="00C71549">
        <w:rPr>
          <w:rFonts w:cs="Arial"/>
          <w:sz w:val="22"/>
          <w:szCs w:val="22"/>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4E5B9393" w14:textId="77777777" w:rsidR="00353CB0" w:rsidRPr="00C71549" w:rsidRDefault="00353CB0" w:rsidP="00353CB0">
      <w:pPr>
        <w:pStyle w:val="Citao"/>
        <w:rPr>
          <w:sz w:val="22"/>
          <w:szCs w:val="22"/>
        </w:rPr>
      </w:pPr>
      <w:r w:rsidRPr="00C71549">
        <w:rPr>
          <w:b/>
          <w:sz w:val="22"/>
          <w:szCs w:val="22"/>
        </w:rPr>
        <w:t>Nota explicativa</w:t>
      </w:r>
      <w:r w:rsidRPr="00C71549">
        <w:rPr>
          <w:sz w:val="22"/>
          <w:szCs w:val="22"/>
        </w:rP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2A394E9D" w14:textId="77777777" w:rsidR="00353CB0" w:rsidRPr="00C71549" w:rsidRDefault="00353CB0" w:rsidP="00353CB0">
      <w:pPr>
        <w:numPr>
          <w:ilvl w:val="1"/>
          <w:numId w:val="7"/>
        </w:numPr>
        <w:spacing w:before="120" w:after="120" w:line="276" w:lineRule="auto"/>
        <w:ind w:left="425" w:firstLine="0"/>
        <w:rPr>
          <w:rFonts w:cs="Arial"/>
          <w:b/>
          <w:i/>
          <w:color w:val="FF0000"/>
          <w:sz w:val="22"/>
        </w:rPr>
      </w:pPr>
      <w:r w:rsidRPr="00C71549">
        <w:rPr>
          <w:rFonts w:cs="Arial"/>
          <w:i/>
          <w:color w:val="FF0000"/>
          <w:sz w:val="22"/>
        </w:rPr>
        <w:t>Aquisição de...........................................................</w:t>
      </w:r>
      <w:r w:rsidRPr="00C71549">
        <w:rPr>
          <w:rFonts w:cs="Arial"/>
          <w:b/>
          <w:i/>
          <w:color w:val="FF0000"/>
          <w:sz w:val="22"/>
        </w:rPr>
        <w:t>,</w:t>
      </w:r>
      <w:r w:rsidRPr="00C71549">
        <w:rPr>
          <w:rFonts w:cs="Arial"/>
          <w:i/>
          <w:color w:val="FF0000"/>
          <w:sz w:val="22"/>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353CB0" w:rsidRPr="00C71549" w14:paraId="438BC368" w14:textId="77777777" w:rsidTr="006C396E">
        <w:tc>
          <w:tcPr>
            <w:tcW w:w="709" w:type="dxa"/>
          </w:tcPr>
          <w:p w14:paraId="3316F7FE"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ITEM</w:t>
            </w:r>
          </w:p>
          <w:p w14:paraId="13348B91"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sz w:val="22"/>
              </w:rPr>
            </w:pPr>
          </w:p>
        </w:tc>
        <w:tc>
          <w:tcPr>
            <w:tcW w:w="3289" w:type="dxa"/>
          </w:tcPr>
          <w:p w14:paraId="61DAE74E" w14:textId="77777777" w:rsidR="00353CB0" w:rsidRPr="00C71549" w:rsidRDefault="00353CB0" w:rsidP="00353CB0">
            <w:pPr>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DESCRIÇÃO/</w:t>
            </w:r>
          </w:p>
          <w:p w14:paraId="25E88CEE"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ESPECIFICAÇÃO</w:t>
            </w:r>
          </w:p>
        </w:tc>
        <w:tc>
          <w:tcPr>
            <w:tcW w:w="1418" w:type="dxa"/>
          </w:tcPr>
          <w:p w14:paraId="65734805"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IDENTIFICAÇÃO CATMAT</w:t>
            </w:r>
          </w:p>
        </w:tc>
        <w:tc>
          <w:tcPr>
            <w:tcW w:w="992" w:type="dxa"/>
          </w:tcPr>
          <w:p w14:paraId="129EE58D"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UNIDADE DE MEDIDA</w:t>
            </w:r>
          </w:p>
        </w:tc>
        <w:tc>
          <w:tcPr>
            <w:tcW w:w="1276" w:type="dxa"/>
          </w:tcPr>
          <w:p w14:paraId="74D8FDC1"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QUANTIDADE</w:t>
            </w:r>
          </w:p>
        </w:tc>
      </w:tr>
      <w:tr w:rsidR="00353CB0" w:rsidRPr="00C71549" w14:paraId="5882483D" w14:textId="77777777" w:rsidTr="006C396E">
        <w:tc>
          <w:tcPr>
            <w:tcW w:w="709" w:type="dxa"/>
          </w:tcPr>
          <w:p w14:paraId="63D45501"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1</w:t>
            </w:r>
          </w:p>
        </w:tc>
        <w:tc>
          <w:tcPr>
            <w:tcW w:w="3289" w:type="dxa"/>
          </w:tcPr>
          <w:p w14:paraId="63CDFA9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7013CDB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42C7FBA3"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0D0D765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04B7E240" w14:textId="77777777" w:rsidTr="006C396E">
        <w:tc>
          <w:tcPr>
            <w:tcW w:w="709" w:type="dxa"/>
          </w:tcPr>
          <w:p w14:paraId="191A3B6E"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i/>
                <w:sz w:val="22"/>
              </w:rPr>
            </w:pPr>
            <w:r w:rsidRPr="00C71549">
              <w:rPr>
                <w:rFonts w:ascii="Arial" w:eastAsia="Times New Roman" w:hAnsi="Arial" w:cs="Arial"/>
                <w:b/>
                <w:i/>
                <w:color w:val="FF0000"/>
                <w:sz w:val="22"/>
              </w:rPr>
              <w:t>1.1</w:t>
            </w:r>
          </w:p>
        </w:tc>
        <w:tc>
          <w:tcPr>
            <w:tcW w:w="3289" w:type="dxa"/>
          </w:tcPr>
          <w:p w14:paraId="1E66BAB0"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i/>
                <w:sz w:val="22"/>
              </w:rPr>
            </w:pPr>
            <w:r w:rsidRPr="00C71549">
              <w:rPr>
                <w:rFonts w:ascii="Arial" w:eastAsia="Times New Roman" w:hAnsi="Arial" w:cs="Arial"/>
                <w:i/>
                <w:color w:val="FF0000"/>
                <w:sz w:val="22"/>
              </w:rPr>
              <w:t xml:space="preserve">Idem ao Item 1 – Cota reservada para ME/EPP em </w:t>
            </w:r>
            <w:proofErr w:type="gramStart"/>
            <w:r w:rsidRPr="00C71549">
              <w:rPr>
                <w:rFonts w:ascii="Arial" w:eastAsia="Times New Roman" w:hAnsi="Arial" w:cs="Arial"/>
                <w:i/>
                <w:color w:val="FF0000"/>
                <w:sz w:val="22"/>
              </w:rPr>
              <w:t>XX,XX</w:t>
            </w:r>
            <w:proofErr w:type="gramEnd"/>
            <w:r w:rsidRPr="00C71549">
              <w:rPr>
                <w:rFonts w:ascii="Arial" w:eastAsia="Times New Roman" w:hAnsi="Arial" w:cs="Arial"/>
                <w:i/>
                <w:color w:val="FF0000"/>
                <w:sz w:val="22"/>
              </w:rPr>
              <w:t>% (ver nota explicativa acima)</w:t>
            </w:r>
          </w:p>
        </w:tc>
        <w:tc>
          <w:tcPr>
            <w:tcW w:w="1418" w:type="dxa"/>
          </w:tcPr>
          <w:p w14:paraId="6614AF9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42A19397"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4BA7F03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1A3CAA18" w14:textId="77777777" w:rsidTr="006C396E">
        <w:tc>
          <w:tcPr>
            <w:tcW w:w="709" w:type="dxa"/>
          </w:tcPr>
          <w:p w14:paraId="1D6F6A6C"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2</w:t>
            </w:r>
          </w:p>
        </w:tc>
        <w:tc>
          <w:tcPr>
            <w:tcW w:w="3289" w:type="dxa"/>
          </w:tcPr>
          <w:p w14:paraId="56527B6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555649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280152A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55CC509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45DDB459" w14:textId="77777777" w:rsidTr="006C396E">
        <w:tc>
          <w:tcPr>
            <w:tcW w:w="709" w:type="dxa"/>
          </w:tcPr>
          <w:p w14:paraId="24560A26"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3</w:t>
            </w:r>
          </w:p>
        </w:tc>
        <w:tc>
          <w:tcPr>
            <w:tcW w:w="3289" w:type="dxa"/>
          </w:tcPr>
          <w:p w14:paraId="13D02CD3"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4544609"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200FA7A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139E959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761CCF71" w14:textId="77777777" w:rsidTr="006C396E">
        <w:tc>
          <w:tcPr>
            <w:tcW w:w="709" w:type="dxa"/>
          </w:tcPr>
          <w:p w14:paraId="655C82C9"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w:t>
            </w:r>
          </w:p>
        </w:tc>
        <w:tc>
          <w:tcPr>
            <w:tcW w:w="3289" w:type="dxa"/>
          </w:tcPr>
          <w:p w14:paraId="29124BA9"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DED68C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992" w:type="dxa"/>
          </w:tcPr>
          <w:p w14:paraId="57D9D16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276" w:type="dxa"/>
          </w:tcPr>
          <w:p w14:paraId="5A43CD03"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bl>
    <w:p w14:paraId="7EB6C12C" w14:textId="4DD7C644" w:rsidR="00353CB0" w:rsidRPr="00C71549" w:rsidRDefault="00353CB0" w:rsidP="00353CB0">
      <w:pPr>
        <w:autoSpaceDE w:val="0"/>
        <w:spacing w:after="120" w:line="276" w:lineRule="auto"/>
        <w:ind w:left="0" w:firstLine="0"/>
        <w:rPr>
          <w:rFonts w:cs="Arial"/>
          <w:b/>
          <w:sz w:val="22"/>
        </w:rPr>
      </w:pPr>
    </w:p>
    <w:p w14:paraId="69DDF8FD" w14:textId="440A8F88" w:rsidR="00353CB0" w:rsidRPr="00C71549" w:rsidRDefault="00353CB0" w:rsidP="00353CB0">
      <w:pPr>
        <w:autoSpaceDE w:val="0"/>
        <w:spacing w:after="120" w:line="276" w:lineRule="auto"/>
        <w:ind w:left="0" w:firstLine="0"/>
        <w:rPr>
          <w:rFonts w:cs="Arial"/>
          <w:b/>
          <w:color w:val="FF0000"/>
          <w:sz w:val="22"/>
        </w:rPr>
      </w:pPr>
      <w:r w:rsidRPr="00C71549">
        <w:rPr>
          <w:rFonts w:cs="Arial"/>
          <w:b/>
          <w:color w:val="FF0000"/>
          <w:sz w:val="22"/>
        </w:rPr>
        <w:t>OU</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353CB0" w:rsidRPr="00C71549" w14:paraId="0C4916C9" w14:textId="77777777" w:rsidTr="006C396E">
        <w:tc>
          <w:tcPr>
            <w:tcW w:w="709" w:type="dxa"/>
          </w:tcPr>
          <w:p w14:paraId="4E40B320"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ITEM</w:t>
            </w:r>
          </w:p>
          <w:p w14:paraId="2324BEC0"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sz w:val="22"/>
              </w:rPr>
            </w:pPr>
          </w:p>
        </w:tc>
        <w:tc>
          <w:tcPr>
            <w:tcW w:w="1559" w:type="dxa"/>
          </w:tcPr>
          <w:p w14:paraId="53B68359" w14:textId="77777777" w:rsidR="00353CB0" w:rsidRPr="00C71549" w:rsidRDefault="00353CB0" w:rsidP="00353CB0">
            <w:pPr>
              <w:spacing w:after="0" w:line="240" w:lineRule="auto"/>
              <w:ind w:left="0" w:firstLine="0"/>
              <w:jc w:val="center"/>
              <w:rPr>
                <w:rFonts w:ascii="Arial" w:eastAsia="Times New Roman" w:hAnsi="Arial" w:cs="Arial"/>
                <w:b/>
                <w:bCs/>
                <w:sz w:val="22"/>
              </w:rPr>
            </w:pPr>
            <w:r w:rsidRPr="00C71549">
              <w:rPr>
                <w:rFonts w:ascii="Arial" w:eastAsia="Times New Roman" w:hAnsi="Arial" w:cs="Arial"/>
                <w:b/>
                <w:bCs/>
                <w:sz w:val="22"/>
              </w:rPr>
              <w:t>DESCRIÇÃO/</w:t>
            </w:r>
          </w:p>
          <w:p w14:paraId="1BD9BEA2"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ESPECIFICAÇÃO</w:t>
            </w:r>
          </w:p>
        </w:tc>
        <w:tc>
          <w:tcPr>
            <w:tcW w:w="1560" w:type="dxa"/>
          </w:tcPr>
          <w:p w14:paraId="0B730367"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IDENTIFICAÇÃO CATMAT</w:t>
            </w:r>
          </w:p>
        </w:tc>
        <w:tc>
          <w:tcPr>
            <w:tcW w:w="1134" w:type="dxa"/>
          </w:tcPr>
          <w:p w14:paraId="565642E2"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UNIDADE DE MEDIDA</w:t>
            </w:r>
          </w:p>
        </w:tc>
        <w:tc>
          <w:tcPr>
            <w:tcW w:w="1417" w:type="dxa"/>
          </w:tcPr>
          <w:p w14:paraId="4650C858"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sz w:val="22"/>
              </w:rPr>
            </w:pPr>
            <w:r w:rsidRPr="00C71549">
              <w:rPr>
                <w:rFonts w:ascii="Arial" w:eastAsia="Times New Roman" w:hAnsi="Arial" w:cs="Arial"/>
                <w:b/>
                <w:bCs/>
                <w:sz w:val="22"/>
              </w:rPr>
              <w:t>QUANTIDADE</w:t>
            </w:r>
          </w:p>
        </w:tc>
        <w:tc>
          <w:tcPr>
            <w:tcW w:w="1418" w:type="dxa"/>
          </w:tcPr>
          <w:p w14:paraId="2422B58E"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VALOR</w:t>
            </w:r>
          </w:p>
          <w:p w14:paraId="629BDD67"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MÁXIMO</w:t>
            </w:r>
          </w:p>
          <w:p w14:paraId="1089A9F0" w14:textId="77777777" w:rsidR="00353CB0" w:rsidRPr="00C71549" w:rsidRDefault="00353CB0" w:rsidP="00353CB0">
            <w:pPr>
              <w:widowControl w:val="0"/>
              <w:suppressAutoHyphens/>
              <w:spacing w:after="0" w:line="240" w:lineRule="auto"/>
              <w:ind w:left="0" w:firstLine="0"/>
              <w:jc w:val="center"/>
              <w:rPr>
                <w:rFonts w:ascii="Arial" w:eastAsia="Times New Roman" w:hAnsi="Arial" w:cs="Arial"/>
                <w:b/>
                <w:bCs/>
                <w:i/>
                <w:color w:val="auto"/>
                <w:sz w:val="22"/>
              </w:rPr>
            </w:pPr>
            <w:r w:rsidRPr="00C71549">
              <w:rPr>
                <w:rFonts w:ascii="Arial" w:eastAsia="Times New Roman" w:hAnsi="Arial" w:cs="Arial"/>
                <w:b/>
                <w:bCs/>
                <w:i/>
                <w:color w:val="FF0000"/>
                <w:sz w:val="22"/>
              </w:rPr>
              <w:t xml:space="preserve">ACEITÁVEL </w:t>
            </w:r>
            <w:r w:rsidRPr="00C71549">
              <w:rPr>
                <w:rFonts w:ascii="Arial" w:eastAsia="Times New Roman" w:hAnsi="Arial" w:cs="Arial"/>
                <w:b/>
                <w:bCs/>
                <w:i/>
                <w:color w:val="FF0000"/>
                <w:sz w:val="22"/>
                <w:u w:val="single"/>
              </w:rPr>
              <w:t>OU</w:t>
            </w:r>
            <w:r w:rsidRPr="00C71549">
              <w:rPr>
                <w:rFonts w:ascii="Arial" w:eastAsia="Times New Roman" w:hAnsi="Arial" w:cs="Arial"/>
                <w:b/>
                <w:bCs/>
                <w:i/>
                <w:color w:val="FF0000"/>
                <w:sz w:val="22"/>
              </w:rPr>
              <w:t xml:space="preserve"> VALOR DE REFERÊNCIA</w:t>
            </w:r>
          </w:p>
        </w:tc>
      </w:tr>
      <w:tr w:rsidR="00353CB0" w:rsidRPr="00C71549" w14:paraId="5195180C" w14:textId="77777777" w:rsidTr="006C396E">
        <w:tc>
          <w:tcPr>
            <w:tcW w:w="709" w:type="dxa"/>
          </w:tcPr>
          <w:p w14:paraId="6AFBD224"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1</w:t>
            </w:r>
          </w:p>
        </w:tc>
        <w:tc>
          <w:tcPr>
            <w:tcW w:w="1559" w:type="dxa"/>
          </w:tcPr>
          <w:p w14:paraId="59B9A6F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42471D2F"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3D376A8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11FF218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03B4FE8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3A9DD89D" w14:textId="77777777" w:rsidTr="006C396E">
        <w:tc>
          <w:tcPr>
            <w:tcW w:w="709" w:type="dxa"/>
          </w:tcPr>
          <w:p w14:paraId="5FC85521"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i/>
                <w:sz w:val="22"/>
              </w:rPr>
            </w:pPr>
            <w:r w:rsidRPr="00C71549">
              <w:rPr>
                <w:rFonts w:ascii="Arial" w:eastAsia="Times New Roman" w:hAnsi="Arial" w:cs="Arial"/>
                <w:b/>
                <w:i/>
                <w:color w:val="FF0000"/>
                <w:sz w:val="22"/>
              </w:rPr>
              <w:t>1.1</w:t>
            </w:r>
          </w:p>
        </w:tc>
        <w:tc>
          <w:tcPr>
            <w:tcW w:w="1559" w:type="dxa"/>
          </w:tcPr>
          <w:p w14:paraId="2376CBD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i/>
                <w:sz w:val="22"/>
              </w:rPr>
            </w:pPr>
            <w:r w:rsidRPr="00C71549">
              <w:rPr>
                <w:rFonts w:ascii="Arial" w:eastAsia="Times New Roman" w:hAnsi="Arial" w:cs="Arial"/>
                <w:i/>
                <w:color w:val="FF0000"/>
                <w:sz w:val="22"/>
              </w:rPr>
              <w:t xml:space="preserve">Idem ao Item 1 – Cota </w:t>
            </w:r>
            <w:r w:rsidRPr="00C71549">
              <w:rPr>
                <w:rFonts w:ascii="Arial" w:eastAsia="Times New Roman" w:hAnsi="Arial" w:cs="Arial"/>
                <w:i/>
                <w:color w:val="FF0000"/>
                <w:sz w:val="22"/>
              </w:rPr>
              <w:lastRenderedPageBreak/>
              <w:t xml:space="preserve">reservada para ME/EPP em </w:t>
            </w:r>
            <w:proofErr w:type="gramStart"/>
            <w:r w:rsidRPr="00C71549">
              <w:rPr>
                <w:rFonts w:ascii="Arial" w:eastAsia="Times New Roman" w:hAnsi="Arial" w:cs="Arial"/>
                <w:i/>
                <w:color w:val="FF0000"/>
                <w:sz w:val="22"/>
              </w:rPr>
              <w:t>XX,XX</w:t>
            </w:r>
            <w:proofErr w:type="gramEnd"/>
            <w:r w:rsidRPr="00C71549">
              <w:rPr>
                <w:rFonts w:ascii="Arial" w:eastAsia="Times New Roman" w:hAnsi="Arial" w:cs="Arial"/>
                <w:i/>
                <w:color w:val="FF0000"/>
                <w:sz w:val="22"/>
              </w:rPr>
              <w:t>% (ver nota explicativa acima)</w:t>
            </w:r>
          </w:p>
        </w:tc>
        <w:tc>
          <w:tcPr>
            <w:tcW w:w="1560" w:type="dxa"/>
          </w:tcPr>
          <w:p w14:paraId="1F771D2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37A60210"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76A9EFAF"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705CFE8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33456900" w14:textId="77777777" w:rsidTr="006C396E">
        <w:tc>
          <w:tcPr>
            <w:tcW w:w="709" w:type="dxa"/>
          </w:tcPr>
          <w:p w14:paraId="548BC8D7"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2</w:t>
            </w:r>
          </w:p>
        </w:tc>
        <w:tc>
          <w:tcPr>
            <w:tcW w:w="1559" w:type="dxa"/>
          </w:tcPr>
          <w:p w14:paraId="11A4B6BA"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7702B02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3D2C6C9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6C4E74C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18E20E2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0F06FAEA" w14:textId="77777777" w:rsidTr="006C396E">
        <w:tc>
          <w:tcPr>
            <w:tcW w:w="709" w:type="dxa"/>
          </w:tcPr>
          <w:p w14:paraId="08D9EA63"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3</w:t>
            </w:r>
          </w:p>
        </w:tc>
        <w:tc>
          <w:tcPr>
            <w:tcW w:w="1559" w:type="dxa"/>
          </w:tcPr>
          <w:p w14:paraId="2B019316"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76747287"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6C5AA671"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6CB03190"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3E6A4C89"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r w:rsidR="00353CB0" w:rsidRPr="00C71549" w14:paraId="67D837DC" w14:textId="77777777" w:rsidTr="006C396E">
        <w:tc>
          <w:tcPr>
            <w:tcW w:w="709" w:type="dxa"/>
          </w:tcPr>
          <w:p w14:paraId="19D4A001"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sz w:val="22"/>
              </w:rPr>
            </w:pPr>
            <w:r w:rsidRPr="00C71549">
              <w:rPr>
                <w:rFonts w:ascii="Arial" w:eastAsia="Times New Roman" w:hAnsi="Arial" w:cs="Arial"/>
                <w:b/>
                <w:sz w:val="22"/>
              </w:rPr>
              <w:t>...</w:t>
            </w:r>
          </w:p>
        </w:tc>
        <w:tc>
          <w:tcPr>
            <w:tcW w:w="1559" w:type="dxa"/>
          </w:tcPr>
          <w:p w14:paraId="0D0AF44C"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560" w:type="dxa"/>
          </w:tcPr>
          <w:p w14:paraId="784AC858"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134" w:type="dxa"/>
          </w:tcPr>
          <w:p w14:paraId="67F4D5C5"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7" w:type="dxa"/>
          </w:tcPr>
          <w:p w14:paraId="36B9E5DF"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c>
          <w:tcPr>
            <w:tcW w:w="1418" w:type="dxa"/>
          </w:tcPr>
          <w:p w14:paraId="14B466CB" w14:textId="77777777" w:rsidR="00353CB0" w:rsidRPr="00C71549" w:rsidRDefault="00353CB0" w:rsidP="00353CB0">
            <w:pPr>
              <w:widowControl w:val="0"/>
              <w:suppressAutoHyphens/>
              <w:spacing w:after="120" w:line="276" w:lineRule="auto"/>
              <w:ind w:left="0" w:firstLine="0"/>
              <w:jc w:val="left"/>
              <w:rPr>
                <w:rFonts w:ascii="Arial" w:eastAsia="Times New Roman" w:hAnsi="Arial" w:cs="Arial"/>
                <w:sz w:val="22"/>
              </w:rPr>
            </w:pPr>
          </w:p>
        </w:tc>
      </w:tr>
    </w:tbl>
    <w:p w14:paraId="64313164" w14:textId="77777777" w:rsidR="00353CB0" w:rsidRPr="00C71549" w:rsidRDefault="00353CB0" w:rsidP="00353CB0">
      <w:pPr>
        <w:autoSpaceDE w:val="0"/>
        <w:spacing w:after="120" w:line="276" w:lineRule="auto"/>
        <w:ind w:left="0" w:firstLine="0"/>
        <w:rPr>
          <w:rFonts w:cs="Arial"/>
          <w:b/>
          <w:sz w:val="22"/>
        </w:rPr>
      </w:pPr>
    </w:p>
    <w:p w14:paraId="441DACA5" w14:textId="77777777" w:rsidR="00353CB0" w:rsidRPr="00C71549" w:rsidRDefault="00353CB0" w:rsidP="00353CB0">
      <w:pPr>
        <w:pStyle w:val="SombreamentoMdio1-nfase31"/>
        <w:spacing w:before="0"/>
        <w:rPr>
          <w:rFonts w:ascii="Arial" w:hAnsi="Arial" w:cs="Arial"/>
          <w:sz w:val="22"/>
          <w:szCs w:val="22"/>
        </w:rPr>
      </w:pPr>
      <w:r w:rsidRPr="00C71549">
        <w:rPr>
          <w:rFonts w:ascii="Arial" w:hAnsi="Arial" w:cs="Arial"/>
          <w:b/>
          <w:sz w:val="22"/>
          <w:szCs w:val="22"/>
        </w:rPr>
        <w:t>Nota explicativa</w:t>
      </w:r>
      <w:r w:rsidRPr="00C71549">
        <w:rPr>
          <w:rFonts w:ascii="Arial" w:hAnsi="Arial" w:cs="Arial"/>
          <w:sz w:val="22"/>
          <w:szCs w:val="22"/>
        </w:rPr>
        <w:t>: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417512ED" w14:textId="77777777" w:rsidR="00353CB0" w:rsidRPr="00C71549" w:rsidRDefault="00353CB0" w:rsidP="00353CB0">
      <w:pPr>
        <w:autoSpaceDE w:val="0"/>
        <w:spacing w:after="120" w:line="276" w:lineRule="auto"/>
        <w:rPr>
          <w:rFonts w:cs="Arial"/>
          <w:b/>
          <w:sz w:val="22"/>
        </w:rPr>
      </w:pPr>
    </w:p>
    <w:p w14:paraId="1AAEC758" w14:textId="77777777" w:rsidR="00353CB0" w:rsidRPr="00C71549" w:rsidRDefault="00353CB0" w:rsidP="00353CB0">
      <w:pPr>
        <w:numPr>
          <w:ilvl w:val="2"/>
          <w:numId w:val="7"/>
        </w:numPr>
        <w:spacing w:before="120" w:after="120" w:line="276" w:lineRule="auto"/>
        <w:rPr>
          <w:rFonts w:cs="Arial"/>
          <w:b/>
          <w:i/>
          <w:color w:val="FF0000"/>
          <w:sz w:val="22"/>
        </w:rPr>
      </w:pPr>
      <w:r w:rsidRPr="00C71549">
        <w:rPr>
          <w:rFonts w:cs="Arial"/>
          <w:i/>
          <w:color w:val="FF0000"/>
          <w:sz w:val="22"/>
        </w:rPr>
        <w:t xml:space="preserve"> Estimativas de consumo individualizadas, do órgão gerenciador e órgão(s) e entidade(s) participante(s)</w:t>
      </w:r>
      <w:r w:rsidRPr="00C71549">
        <w:rPr>
          <w:rFonts w:cs="Arial"/>
          <w:i/>
          <w:sz w:val="22"/>
        </w:rPr>
        <w:t>.</w:t>
      </w:r>
    </w:p>
    <w:p w14:paraId="45817AEC" w14:textId="77777777" w:rsidR="00353CB0" w:rsidRPr="00C71549" w:rsidRDefault="00353CB0" w:rsidP="00353CB0">
      <w:pPr>
        <w:spacing w:before="120" w:after="120" w:line="276" w:lineRule="auto"/>
        <w:ind w:left="0" w:firstLine="0"/>
        <w:rPr>
          <w:rFonts w:cs="Arial"/>
          <w:b/>
          <w:i/>
          <w:color w:val="FF0000"/>
          <w:sz w:val="22"/>
        </w:rPr>
      </w:pPr>
      <w:r w:rsidRPr="00C71549">
        <w:rPr>
          <w:rFonts w:cs="Arial"/>
          <w:b/>
          <w:i/>
          <w:color w:val="FF0000"/>
          <w:sz w:val="22"/>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598"/>
        <w:gridCol w:w="1221"/>
        <w:gridCol w:w="2392"/>
        <w:gridCol w:w="1598"/>
        <w:gridCol w:w="1532"/>
      </w:tblGrid>
      <w:tr w:rsidR="00353CB0" w:rsidRPr="00C71549" w14:paraId="54353671" w14:textId="77777777" w:rsidTr="006C396E">
        <w:tc>
          <w:tcPr>
            <w:tcW w:w="9039" w:type="dxa"/>
            <w:gridSpan w:val="6"/>
            <w:tcBorders>
              <w:top w:val="single" w:sz="4" w:space="0" w:color="auto"/>
              <w:left w:val="single" w:sz="4" w:space="0" w:color="auto"/>
              <w:bottom w:val="single" w:sz="4" w:space="0" w:color="auto"/>
              <w:right w:val="single" w:sz="4" w:space="0" w:color="auto"/>
            </w:tcBorders>
          </w:tcPr>
          <w:p w14:paraId="13558DFF"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Órgão Gerenciador:</w:t>
            </w:r>
          </w:p>
        </w:tc>
      </w:tr>
      <w:tr w:rsidR="00353CB0" w:rsidRPr="00C71549" w14:paraId="7E27C6DA" w14:textId="77777777" w:rsidTr="006C396E">
        <w:tc>
          <w:tcPr>
            <w:tcW w:w="707" w:type="dxa"/>
            <w:tcBorders>
              <w:top w:val="single" w:sz="4" w:space="0" w:color="auto"/>
              <w:left w:val="single" w:sz="4" w:space="0" w:color="auto"/>
              <w:bottom w:val="single" w:sz="4" w:space="0" w:color="auto"/>
              <w:right w:val="single" w:sz="4" w:space="0" w:color="auto"/>
            </w:tcBorders>
            <w:hideMark/>
          </w:tcPr>
          <w:p w14:paraId="18767FD8"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item</w:t>
            </w:r>
          </w:p>
        </w:tc>
        <w:tc>
          <w:tcPr>
            <w:tcW w:w="1472" w:type="dxa"/>
            <w:tcBorders>
              <w:top w:val="single" w:sz="4" w:space="0" w:color="auto"/>
              <w:left w:val="single" w:sz="4" w:space="0" w:color="auto"/>
              <w:bottom w:val="single" w:sz="4" w:space="0" w:color="auto"/>
              <w:right w:val="single" w:sz="4" w:space="0" w:color="auto"/>
            </w:tcBorders>
            <w:hideMark/>
          </w:tcPr>
          <w:p w14:paraId="15133F70"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DESCRIÇÃO/ ESPECIF.</w:t>
            </w:r>
          </w:p>
        </w:tc>
        <w:tc>
          <w:tcPr>
            <w:tcW w:w="1221" w:type="dxa"/>
            <w:tcBorders>
              <w:top w:val="single" w:sz="4" w:space="0" w:color="auto"/>
              <w:left w:val="single" w:sz="4" w:space="0" w:color="auto"/>
              <w:bottom w:val="single" w:sz="4" w:space="0" w:color="auto"/>
              <w:right w:val="single" w:sz="4" w:space="0" w:color="auto"/>
            </w:tcBorders>
            <w:hideMark/>
          </w:tcPr>
          <w:p w14:paraId="1E75677C"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UNIDADE</w:t>
            </w:r>
          </w:p>
          <w:p w14:paraId="190FB194"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DE</w:t>
            </w:r>
          </w:p>
          <w:p w14:paraId="0A1C30B8"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MEDIDA</w:t>
            </w:r>
          </w:p>
        </w:tc>
        <w:tc>
          <w:tcPr>
            <w:tcW w:w="2607" w:type="dxa"/>
            <w:tcBorders>
              <w:top w:val="single" w:sz="4" w:space="0" w:color="auto"/>
              <w:left w:val="single" w:sz="4" w:space="0" w:color="auto"/>
              <w:bottom w:val="single" w:sz="4" w:space="0" w:color="auto"/>
              <w:right w:val="single" w:sz="4" w:space="0" w:color="auto"/>
            </w:tcBorders>
            <w:hideMark/>
          </w:tcPr>
          <w:p w14:paraId="7685ADED"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016E47F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MÍNIMA</w:t>
            </w:r>
          </w:p>
        </w:tc>
        <w:tc>
          <w:tcPr>
            <w:tcW w:w="1472" w:type="dxa"/>
            <w:tcBorders>
              <w:top w:val="single" w:sz="4" w:space="0" w:color="auto"/>
              <w:left w:val="single" w:sz="4" w:space="0" w:color="auto"/>
              <w:bottom w:val="single" w:sz="4" w:space="0" w:color="auto"/>
              <w:right w:val="single" w:sz="4" w:space="0" w:color="auto"/>
            </w:tcBorders>
            <w:hideMark/>
          </w:tcPr>
          <w:p w14:paraId="7ECAE9A6"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4972843C"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Máxima</w:t>
            </w:r>
          </w:p>
        </w:tc>
        <w:tc>
          <w:tcPr>
            <w:tcW w:w="1560" w:type="dxa"/>
            <w:tcBorders>
              <w:top w:val="single" w:sz="4" w:space="0" w:color="auto"/>
              <w:left w:val="single" w:sz="4" w:space="0" w:color="auto"/>
              <w:bottom w:val="single" w:sz="4" w:space="0" w:color="auto"/>
              <w:right w:val="single" w:sz="4" w:space="0" w:color="auto"/>
            </w:tcBorders>
            <w:hideMark/>
          </w:tcPr>
          <w:p w14:paraId="4947CBA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Quantidade</w:t>
            </w:r>
          </w:p>
          <w:p w14:paraId="625BFDE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total</w:t>
            </w:r>
          </w:p>
        </w:tc>
      </w:tr>
      <w:tr w:rsidR="00353CB0" w:rsidRPr="00C71549" w14:paraId="5C568B57" w14:textId="77777777" w:rsidTr="006C396E">
        <w:tc>
          <w:tcPr>
            <w:tcW w:w="707" w:type="dxa"/>
            <w:tcBorders>
              <w:top w:val="single" w:sz="4" w:space="0" w:color="auto"/>
              <w:left w:val="single" w:sz="4" w:space="0" w:color="auto"/>
              <w:bottom w:val="single" w:sz="4" w:space="0" w:color="auto"/>
              <w:right w:val="single" w:sz="4" w:space="0" w:color="auto"/>
            </w:tcBorders>
          </w:tcPr>
          <w:p w14:paraId="57048DC8"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64C023C5"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221" w:type="dxa"/>
            <w:tcBorders>
              <w:top w:val="single" w:sz="4" w:space="0" w:color="auto"/>
              <w:left w:val="single" w:sz="4" w:space="0" w:color="auto"/>
              <w:bottom w:val="single" w:sz="4" w:space="0" w:color="auto"/>
              <w:right w:val="single" w:sz="4" w:space="0" w:color="auto"/>
            </w:tcBorders>
          </w:tcPr>
          <w:p w14:paraId="3A292EE8"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2607" w:type="dxa"/>
            <w:tcBorders>
              <w:top w:val="single" w:sz="4" w:space="0" w:color="auto"/>
              <w:left w:val="single" w:sz="4" w:space="0" w:color="auto"/>
              <w:bottom w:val="single" w:sz="4" w:space="0" w:color="auto"/>
              <w:right w:val="single" w:sz="4" w:space="0" w:color="auto"/>
            </w:tcBorders>
          </w:tcPr>
          <w:p w14:paraId="58F95B2A"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712B2EC6"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560" w:type="dxa"/>
            <w:tcBorders>
              <w:top w:val="single" w:sz="4" w:space="0" w:color="auto"/>
              <w:left w:val="single" w:sz="4" w:space="0" w:color="auto"/>
              <w:bottom w:val="single" w:sz="4" w:space="0" w:color="auto"/>
              <w:right w:val="single" w:sz="4" w:space="0" w:color="auto"/>
            </w:tcBorders>
          </w:tcPr>
          <w:p w14:paraId="20AE5DF0"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r>
    </w:tbl>
    <w:p w14:paraId="2133F31C" w14:textId="146DA90C" w:rsidR="00353CB0" w:rsidRPr="00C71549" w:rsidRDefault="00353CB0" w:rsidP="00353CB0">
      <w:pPr>
        <w:spacing w:before="120" w:after="120" w:line="276" w:lineRule="auto"/>
        <w:ind w:left="0" w:firstLine="0"/>
        <w:rPr>
          <w:rFonts w:cs="Arial"/>
          <w:b/>
          <w:i/>
          <w:color w:val="FF0000"/>
          <w:sz w:val="22"/>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98"/>
        <w:gridCol w:w="1385"/>
        <w:gridCol w:w="1598"/>
        <w:gridCol w:w="1598"/>
        <w:gridCol w:w="1457"/>
      </w:tblGrid>
      <w:tr w:rsidR="00353CB0" w:rsidRPr="00C71549" w14:paraId="61054745" w14:textId="77777777" w:rsidTr="006C396E">
        <w:tc>
          <w:tcPr>
            <w:tcW w:w="8832" w:type="dxa"/>
            <w:gridSpan w:val="6"/>
            <w:tcBorders>
              <w:top w:val="single" w:sz="4" w:space="0" w:color="auto"/>
              <w:left w:val="single" w:sz="4" w:space="0" w:color="auto"/>
              <w:bottom w:val="single" w:sz="4" w:space="0" w:color="auto"/>
              <w:right w:val="single" w:sz="4" w:space="0" w:color="auto"/>
            </w:tcBorders>
          </w:tcPr>
          <w:p w14:paraId="1E6342C5"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Órgão Participante:</w:t>
            </w:r>
          </w:p>
        </w:tc>
      </w:tr>
      <w:tr w:rsidR="00353CB0" w:rsidRPr="00C71549" w14:paraId="158CDF31" w14:textId="77777777" w:rsidTr="006C396E">
        <w:tc>
          <w:tcPr>
            <w:tcW w:w="1472" w:type="dxa"/>
            <w:tcBorders>
              <w:top w:val="single" w:sz="4" w:space="0" w:color="auto"/>
              <w:left w:val="single" w:sz="4" w:space="0" w:color="auto"/>
              <w:bottom w:val="single" w:sz="4" w:space="0" w:color="auto"/>
              <w:right w:val="single" w:sz="4" w:space="0" w:color="auto"/>
            </w:tcBorders>
            <w:hideMark/>
          </w:tcPr>
          <w:p w14:paraId="228C1BC1" w14:textId="77777777" w:rsidR="00353CB0" w:rsidRPr="00C71549" w:rsidRDefault="00353CB0" w:rsidP="00353CB0">
            <w:pPr>
              <w:autoSpaceDE w:val="0"/>
              <w:spacing w:after="120" w:line="276" w:lineRule="auto"/>
              <w:ind w:left="0" w:firstLine="0"/>
              <w:rPr>
                <w:rFonts w:ascii="Arial" w:eastAsia="Times New Roman" w:hAnsi="Arial" w:cs="Arial"/>
                <w:b/>
                <w:i/>
                <w:color w:val="FF0000"/>
                <w:sz w:val="22"/>
              </w:rPr>
            </w:pPr>
            <w:r w:rsidRPr="00C71549">
              <w:rPr>
                <w:rFonts w:ascii="Arial" w:eastAsia="Times New Roman" w:hAnsi="Arial" w:cs="Arial"/>
                <w:b/>
                <w:i/>
                <w:color w:val="FF0000"/>
                <w:sz w:val="22"/>
              </w:rPr>
              <w:t>Item</w:t>
            </w:r>
          </w:p>
        </w:tc>
        <w:tc>
          <w:tcPr>
            <w:tcW w:w="1472" w:type="dxa"/>
            <w:tcBorders>
              <w:top w:val="single" w:sz="4" w:space="0" w:color="auto"/>
              <w:left w:val="single" w:sz="4" w:space="0" w:color="auto"/>
              <w:bottom w:val="single" w:sz="4" w:space="0" w:color="auto"/>
              <w:right w:val="single" w:sz="4" w:space="0" w:color="auto"/>
            </w:tcBorders>
            <w:hideMark/>
          </w:tcPr>
          <w:p w14:paraId="74116DFD"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5BB56990"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UNIDADE</w:t>
            </w:r>
          </w:p>
          <w:p w14:paraId="599F8D75"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b/>
                <w:bCs/>
                <w:i/>
                <w:color w:val="FF0000"/>
                <w:sz w:val="22"/>
              </w:rPr>
            </w:pPr>
            <w:r w:rsidRPr="00C71549">
              <w:rPr>
                <w:rFonts w:ascii="Arial" w:eastAsia="Times New Roman" w:hAnsi="Arial" w:cs="Arial"/>
                <w:b/>
                <w:bCs/>
                <w:i/>
                <w:color w:val="FF0000"/>
                <w:sz w:val="22"/>
              </w:rPr>
              <w:t>DE</w:t>
            </w:r>
          </w:p>
          <w:p w14:paraId="59029AAB"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bCs/>
                <w:i/>
                <w:color w:val="FF0000"/>
                <w:sz w:val="22"/>
              </w:rPr>
              <w:t>MEDIDA</w:t>
            </w:r>
          </w:p>
        </w:tc>
        <w:tc>
          <w:tcPr>
            <w:tcW w:w="1472" w:type="dxa"/>
            <w:tcBorders>
              <w:top w:val="single" w:sz="4" w:space="0" w:color="auto"/>
              <w:left w:val="single" w:sz="4" w:space="0" w:color="auto"/>
              <w:bottom w:val="single" w:sz="4" w:space="0" w:color="auto"/>
              <w:right w:val="single" w:sz="4" w:space="0" w:color="auto"/>
            </w:tcBorders>
            <w:hideMark/>
          </w:tcPr>
          <w:p w14:paraId="53F471CE"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63BEC3F3"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MÍNIMA</w:t>
            </w:r>
          </w:p>
        </w:tc>
        <w:tc>
          <w:tcPr>
            <w:tcW w:w="1472" w:type="dxa"/>
            <w:tcBorders>
              <w:top w:val="single" w:sz="4" w:space="0" w:color="auto"/>
              <w:left w:val="single" w:sz="4" w:space="0" w:color="auto"/>
              <w:bottom w:val="single" w:sz="4" w:space="0" w:color="auto"/>
              <w:right w:val="single" w:sz="4" w:space="0" w:color="auto"/>
            </w:tcBorders>
            <w:hideMark/>
          </w:tcPr>
          <w:p w14:paraId="2870327F" w14:textId="77777777" w:rsidR="00353CB0" w:rsidRPr="00C71549" w:rsidRDefault="00353CB0" w:rsidP="00353CB0">
            <w:pPr>
              <w:widowControl w:val="0"/>
              <w:suppressAutoHyphens/>
              <w:spacing w:after="120" w:line="276" w:lineRule="auto"/>
              <w:ind w:left="0" w:firstLine="0"/>
              <w:jc w:val="center"/>
              <w:rPr>
                <w:rFonts w:ascii="Arial" w:eastAsia="Times New Roman" w:hAnsi="Arial" w:cs="Arial"/>
                <w:i/>
                <w:color w:val="FF0000"/>
                <w:sz w:val="22"/>
              </w:rPr>
            </w:pPr>
            <w:r w:rsidRPr="00C71549">
              <w:rPr>
                <w:rFonts w:ascii="Arial" w:eastAsia="Times New Roman" w:hAnsi="Arial" w:cs="Arial"/>
                <w:i/>
                <w:color w:val="FF0000"/>
                <w:sz w:val="22"/>
              </w:rPr>
              <w:t>REQUISIÇÃO</w:t>
            </w:r>
          </w:p>
          <w:p w14:paraId="734DF738"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i/>
                <w:color w:val="FF0000"/>
                <w:sz w:val="22"/>
              </w:rPr>
              <w:t>Máxima</w:t>
            </w:r>
          </w:p>
        </w:tc>
        <w:tc>
          <w:tcPr>
            <w:tcW w:w="1472" w:type="dxa"/>
            <w:tcBorders>
              <w:top w:val="single" w:sz="4" w:space="0" w:color="auto"/>
              <w:left w:val="single" w:sz="4" w:space="0" w:color="auto"/>
              <w:bottom w:val="single" w:sz="4" w:space="0" w:color="auto"/>
              <w:right w:val="single" w:sz="4" w:space="0" w:color="auto"/>
            </w:tcBorders>
            <w:hideMark/>
          </w:tcPr>
          <w:p w14:paraId="11120B52"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Quantidade</w:t>
            </w:r>
          </w:p>
          <w:p w14:paraId="7C48F285" w14:textId="77777777" w:rsidR="00353CB0" w:rsidRPr="00C71549" w:rsidRDefault="00353CB0" w:rsidP="00353CB0">
            <w:pPr>
              <w:autoSpaceDE w:val="0"/>
              <w:spacing w:after="120" w:line="276" w:lineRule="auto"/>
              <w:ind w:left="0" w:firstLine="0"/>
              <w:jc w:val="center"/>
              <w:rPr>
                <w:rFonts w:ascii="Arial" w:eastAsia="Times New Roman" w:hAnsi="Arial" w:cs="Arial"/>
                <w:b/>
                <w:i/>
                <w:color w:val="FF0000"/>
                <w:sz w:val="22"/>
              </w:rPr>
            </w:pPr>
            <w:r w:rsidRPr="00C71549">
              <w:rPr>
                <w:rFonts w:ascii="Arial" w:eastAsia="Times New Roman" w:hAnsi="Arial" w:cs="Arial"/>
                <w:b/>
                <w:i/>
                <w:color w:val="FF0000"/>
                <w:sz w:val="22"/>
              </w:rPr>
              <w:t>total</w:t>
            </w:r>
          </w:p>
        </w:tc>
      </w:tr>
      <w:tr w:rsidR="00353CB0" w:rsidRPr="00C71549" w14:paraId="3D44F958" w14:textId="77777777" w:rsidTr="006C396E">
        <w:tc>
          <w:tcPr>
            <w:tcW w:w="1472" w:type="dxa"/>
            <w:tcBorders>
              <w:top w:val="single" w:sz="4" w:space="0" w:color="auto"/>
              <w:left w:val="single" w:sz="4" w:space="0" w:color="auto"/>
              <w:bottom w:val="single" w:sz="4" w:space="0" w:color="auto"/>
              <w:right w:val="single" w:sz="4" w:space="0" w:color="auto"/>
            </w:tcBorders>
          </w:tcPr>
          <w:p w14:paraId="585B0C7A"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37FA8E92"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223C403F"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7C79761E"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5AB556CE"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c>
          <w:tcPr>
            <w:tcW w:w="1472" w:type="dxa"/>
            <w:tcBorders>
              <w:top w:val="single" w:sz="4" w:space="0" w:color="auto"/>
              <w:left w:val="single" w:sz="4" w:space="0" w:color="auto"/>
              <w:bottom w:val="single" w:sz="4" w:space="0" w:color="auto"/>
              <w:right w:val="single" w:sz="4" w:space="0" w:color="auto"/>
            </w:tcBorders>
          </w:tcPr>
          <w:p w14:paraId="79D00B0D" w14:textId="77777777" w:rsidR="00353CB0" w:rsidRPr="00C71549" w:rsidRDefault="00353CB0" w:rsidP="00353CB0">
            <w:pPr>
              <w:autoSpaceDE w:val="0"/>
              <w:spacing w:after="120" w:line="276" w:lineRule="auto"/>
              <w:ind w:left="0" w:firstLine="0"/>
              <w:rPr>
                <w:rFonts w:ascii="Arial" w:eastAsia="Times New Roman" w:hAnsi="Arial" w:cs="Arial"/>
                <w:b/>
                <w:color w:val="FF0000"/>
                <w:sz w:val="22"/>
              </w:rPr>
            </w:pPr>
          </w:p>
        </w:tc>
      </w:tr>
    </w:tbl>
    <w:p w14:paraId="4DFAFD69" w14:textId="77777777" w:rsidR="00353CB0" w:rsidRPr="00C71549" w:rsidRDefault="00353CB0" w:rsidP="00353CB0">
      <w:pPr>
        <w:spacing w:before="120" w:after="120" w:line="276" w:lineRule="auto"/>
        <w:ind w:left="0" w:firstLine="0"/>
        <w:rPr>
          <w:rFonts w:cs="Arial"/>
          <w:b/>
          <w:i/>
          <w:color w:val="FF0000"/>
          <w:sz w:val="22"/>
        </w:rPr>
      </w:pPr>
    </w:p>
    <w:p w14:paraId="6102388F" w14:textId="77777777" w:rsidR="00353CB0" w:rsidRPr="00C71549" w:rsidRDefault="00353CB0" w:rsidP="00353CB0">
      <w:pPr>
        <w:pStyle w:val="SombreamentoMdio1-nfase31"/>
        <w:rPr>
          <w:rFonts w:ascii="Arial" w:hAnsi="Arial" w:cs="Arial"/>
          <w:sz w:val="22"/>
          <w:szCs w:val="22"/>
        </w:rPr>
      </w:pPr>
      <w:r w:rsidRPr="00C71549">
        <w:rPr>
          <w:rFonts w:cs="Arial"/>
          <w:b/>
          <w:color w:val="auto"/>
          <w:sz w:val="22"/>
          <w:szCs w:val="22"/>
        </w:rPr>
        <w:t>Nota explicativa:</w:t>
      </w:r>
      <w:r w:rsidRPr="00C71549">
        <w:rPr>
          <w:rFonts w:cs="Arial"/>
          <w:color w:val="auto"/>
          <w:sz w:val="22"/>
          <w:szCs w:val="22"/>
        </w:rPr>
        <w:t xml:space="preserve"> </w:t>
      </w:r>
      <w:r w:rsidRPr="00C71549">
        <w:rPr>
          <w:rFonts w:ascii="Arial" w:hAnsi="Arial" w:cs="Arial"/>
          <w:sz w:val="22"/>
          <w:szCs w:val="22"/>
        </w:rPr>
        <w:t>Utilizar o subitem 1.1.1 acima no caso de registro de preços que conte com órgãos participantes, além do gerenciador.</w:t>
      </w:r>
    </w:p>
    <w:p w14:paraId="2D40B96A"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lastRenderedPageBreak/>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2715EDD4"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F519B16"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8B74FE4"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B80C0CF"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55719D04"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2A177CD" w14:textId="77777777" w:rsidR="00353CB0" w:rsidRPr="00C71549" w:rsidRDefault="00353CB0" w:rsidP="00353CB0">
      <w:pPr>
        <w:pStyle w:val="SombreamentoMdio1-nfase31"/>
        <w:rPr>
          <w:rFonts w:ascii="Arial" w:hAnsi="Arial" w:cs="Arial"/>
          <w:sz w:val="22"/>
          <w:szCs w:val="22"/>
        </w:rPr>
      </w:pPr>
      <w:r w:rsidRPr="00C71549">
        <w:rPr>
          <w:rFonts w:ascii="Arial" w:hAnsi="Arial" w:cs="Arial"/>
          <w:sz w:val="22"/>
          <w:szCs w:val="22"/>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077DA2AE" w14:textId="77777777" w:rsidR="00353CB0" w:rsidRPr="00C71549" w:rsidRDefault="00353CB0" w:rsidP="00353CB0">
      <w:pPr>
        <w:pStyle w:val="Citao"/>
        <w:rPr>
          <w:rFonts w:cs="Arial"/>
          <w:sz w:val="22"/>
          <w:szCs w:val="22"/>
        </w:rPr>
      </w:pPr>
      <w:r w:rsidRPr="00C71549">
        <w:rPr>
          <w:rFonts w:cs="Arial"/>
          <w:b/>
          <w:sz w:val="22"/>
          <w:szCs w:val="22"/>
        </w:rPr>
        <w:t xml:space="preserve">Nota explicativa 2: </w:t>
      </w:r>
      <w:r w:rsidRPr="00C71549">
        <w:rPr>
          <w:rFonts w:cs="Arial"/>
          <w:sz w:val="22"/>
          <w:szCs w:val="22"/>
        </w:rPr>
        <w:t>A tabela acima é meramente ilustrativa; o órgão ou entidade deve elaborá-la da forma que melhor aprouver ao certame licitatório.</w:t>
      </w:r>
    </w:p>
    <w:p w14:paraId="79D6B152" w14:textId="77777777" w:rsidR="00353CB0" w:rsidRPr="00C71549" w:rsidRDefault="00353CB0" w:rsidP="00353CB0">
      <w:pPr>
        <w:autoSpaceDE w:val="0"/>
        <w:spacing w:after="120" w:line="276" w:lineRule="auto"/>
        <w:rPr>
          <w:rFonts w:cs="Arial"/>
          <w:b/>
          <w:sz w:val="22"/>
          <w:lang w:val="x-none"/>
        </w:rPr>
      </w:pPr>
    </w:p>
    <w:p w14:paraId="3C5D8BE5" w14:textId="77777777" w:rsidR="00353CB0" w:rsidRPr="00C71549" w:rsidRDefault="00353CB0" w:rsidP="00353CB0">
      <w:pPr>
        <w:ind w:firstLine="708"/>
        <w:rPr>
          <w:rFonts w:cs="Arial"/>
          <w:sz w:val="22"/>
          <w:lang w:val="x-none"/>
        </w:rPr>
      </w:pPr>
    </w:p>
    <w:p w14:paraId="6BCC9725"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i/>
          <w:color w:val="FF0000"/>
          <w:sz w:val="22"/>
        </w:rPr>
      </w:pPr>
      <w:r w:rsidRPr="00C71549">
        <w:rPr>
          <w:rFonts w:cs="Arial"/>
          <w:i/>
          <w:color w:val="FF0000"/>
          <w:sz w:val="22"/>
        </w:rPr>
        <w:t>Na hipótese de não haver vencedor para a cota reservada, esta poderá ser adjudicada ao vencedor da cota principal ou, diante de sua recusa, aos licitantes remanescentes, desde que pratiquem o preço do primeiro colocado da cota principal.</w:t>
      </w:r>
    </w:p>
    <w:p w14:paraId="22CF672C"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i/>
          <w:color w:val="FF0000"/>
          <w:sz w:val="22"/>
        </w:rPr>
      </w:pPr>
      <w:r w:rsidRPr="00C71549">
        <w:rPr>
          <w:rFonts w:cs="Arial"/>
          <w:i/>
          <w:color w:val="FF0000"/>
          <w:sz w:val="22"/>
        </w:rPr>
        <w:t>Se a mesma empresa vencer a cota reservada e a cota principal, a contratação das cotas deverá ocorrer pelo menor preço.</w:t>
      </w:r>
    </w:p>
    <w:p w14:paraId="09B5B8DD" w14:textId="77777777" w:rsidR="00353CB0" w:rsidRPr="00C71549" w:rsidRDefault="00353CB0" w:rsidP="00353CB0">
      <w:pPr>
        <w:pStyle w:val="PargrafodaLista"/>
        <w:numPr>
          <w:ilvl w:val="1"/>
          <w:numId w:val="7"/>
        </w:numPr>
        <w:autoSpaceDE w:val="0"/>
        <w:spacing w:after="120" w:line="276" w:lineRule="auto"/>
        <w:ind w:left="425" w:firstLine="0"/>
        <w:contextualSpacing w:val="0"/>
        <w:rPr>
          <w:rFonts w:cs="Arial"/>
          <w:b/>
          <w:sz w:val="22"/>
        </w:rPr>
      </w:pPr>
      <w:r w:rsidRPr="00C71549">
        <w:rPr>
          <w:rFonts w:cs="Arial"/>
          <w:i/>
          <w:color w:val="FF0000"/>
          <w:sz w:val="22"/>
        </w:rPr>
        <w:t xml:space="preserve">Será dada a prioridade de aquisição aos produtos das cotas reservadas quando forem adjudicados aos licitantes qualificados como microempresas ou empresas de pequeno porte, ressalvados </w:t>
      </w:r>
      <w:r w:rsidRPr="00C71549">
        <w:rPr>
          <w:rFonts w:cs="Arial"/>
          <w:i/>
          <w:color w:val="FF0000"/>
          <w:sz w:val="22"/>
        </w:rPr>
        <w:lastRenderedPageBreak/>
        <w:t>os casos em que a cota reservada for inadequada para atender as quantidades ou as condições do pedido, conforme vier a ser decidido pela Administração, nos termos do art. 8º, §4º do Decreto n. 8.538, de 2015.</w:t>
      </w:r>
    </w:p>
    <w:p w14:paraId="1B819A67" w14:textId="77777777" w:rsidR="00353CB0" w:rsidRPr="00C71549" w:rsidRDefault="00353CB0" w:rsidP="00353CB0">
      <w:pPr>
        <w:pStyle w:val="Citao"/>
        <w:contextualSpacing/>
        <w:rPr>
          <w:rFonts w:cs="Arial"/>
          <w:sz w:val="22"/>
          <w:szCs w:val="22"/>
        </w:rPr>
      </w:pPr>
      <w:r w:rsidRPr="00C71549">
        <w:rPr>
          <w:b/>
          <w:sz w:val="22"/>
          <w:szCs w:val="22"/>
        </w:rPr>
        <w:t>Nota explicativa</w:t>
      </w:r>
      <w:r w:rsidRPr="00C71549">
        <w:rPr>
          <w:sz w:val="22"/>
          <w:szCs w:val="22"/>
        </w:rPr>
        <w:t xml:space="preserve">: De acordo com o artigo 8º do Decreto nº 8538/2015, </w:t>
      </w:r>
      <w:r w:rsidRPr="00C71549">
        <w:rPr>
          <w:rFonts w:cs="Arial"/>
          <w:sz w:val="22"/>
          <w:szCs w:val="22"/>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560D2A06" w14:textId="77777777" w:rsidR="00353CB0" w:rsidRPr="00C71549" w:rsidRDefault="00353CB0" w:rsidP="00353CB0">
      <w:pPr>
        <w:pStyle w:val="Citao"/>
        <w:contextualSpacing/>
        <w:rPr>
          <w:sz w:val="22"/>
          <w:szCs w:val="22"/>
        </w:rPr>
      </w:pPr>
      <w:r w:rsidRPr="00C71549">
        <w:rPr>
          <w:sz w:val="22"/>
          <w:szCs w:val="22"/>
        </w:rPr>
        <w:t xml:space="preserve"> </w:t>
      </w:r>
      <w:r w:rsidRPr="00C71549">
        <w:rPr>
          <w:rFonts w:cs="Arial"/>
          <w:sz w:val="22"/>
          <w:szCs w:val="22"/>
        </w:rPr>
        <w:t xml:space="preserve"> Desta forma, </w:t>
      </w:r>
      <w:r w:rsidRPr="00C71549">
        <w:rPr>
          <w:sz w:val="22"/>
          <w:szCs w:val="22"/>
        </w:rPr>
        <w:t>a previsão de prioridade de aquisição das cotas reservadas deverá ser incluída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52120264" w14:textId="77777777" w:rsidR="00353CB0" w:rsidRPr="00C71549" w:rsidRDefault="00353CB0" w:rsidP="00353CB0">
      <w:pPr>
        <w:autoSpaceDE w:val="0"/>
        <w:spacing w:after="120" w:line="276" w:lineRule="auto"/>
        <w:rPr>
          <w:rFonts w:cs="Arial"/>
          <w:b/>
          <w:sz w:val="22"/>
        </w:rPr>
      </w:pPr>
    </w:p>
    <w:p w14:paraId="17F2AAD8" w14:textId="77777777" w:rsidR="00353CB0" w:rsidRPr="00C71549" w:rsidRDefault="00353CB0" w:rsidP="00353CB0">
      <w:pPr>
        <w:pStyle w:val="PargrafodaLista"/>
        <w:numPr>
          <w:ilvl w:val="1"/>
          <w:numId w:val="7"/>
        </w:numPr>
        <w:spacing w:before="120" w:after="120" w:line="276" w:lineRule="auto"/>
        <w:contextualSpacing w:val="0"/>
        <w:rPr>
          <w:rFonts w:cs="Arial"/>
          <w:sz w:val="22"/>
        </w:rPr>
      </w:pPr>
      <w:r w:rsidRPr="00C71549">
        <w:rPr>
          <w:rFonts w:cs="Arial"/>
          <w:bCs/>
          <w:iCs/>
          <w:sz w:val="22"/>
        </w:rPr>
        <w:t xml:space="preserve">O prazo de vigência da contratação é de </w:t>
      </w:r>
      <w:r w:rsidRPr="00C71549">
        <w:rPr>
          <w:rFonts w:cs="Arial"/>
          <w:bCs/>
          <w:iCs/>
          <w:color w:val="FF0000"/>
          <w:sz w:val="22"/>
        </w:rPr>
        <w:t xml:space="preserve">.............................. </w:t>
      </w:r>
      <w:r w:rsidRPr="00C71549">
        <w:rPr>
          <w:rFonts w:cs="Arial"/>
          <w:bCs/>
          <w:iCs/>
          <w:sz w:val="22"/>
        </w:rPr>
        <w:t xml:space="preserve">contados do(a) </w:t>
      </w:r>
      <w:r w:rsidRPr="00C71549">
        <w:rPr>
          <w:rFonts w:cs="Arial"/>
          <w:bCs/>
          <w:iCs/>
          <w:color w:val="FF0000"/>
          <w:sz w:val="22"/>
        </w:rPr>
        <w:t xml:space="preserve">............................. </w:t>
      </w:r>
      <w:r w:rsidRPr="00C71549">
        <w:rPr>
          <w:rFonts w:cs="Arial"/>
          <w:bCs/>
          <w:iCs/>
          <w:sz w:val="22"/>
        </w:rPr>
        <w:t>prorrogável na forma do art. 57, § 1°, da Lei n° 8.666/93.</w:t>
      </w:r>
    </w:p>
    <w:p w14:paraId="5390E541" w14:textId="77777777" w:rsidR="00353CB0" w:rsidRPr="00C71549" w:rsidRDefault="00353CB0" w:rsidP="00353CB0">
      <w:pPr>
        <w:pStyle w:val="Citao"/>
        <w:rPr>
          <w:rFonts w:cs="Arial"/>
          <w:b/>
          <w:sz w:val="22"/>
          <w:szCs w:val="22"/>
        </w:rPr>
      </w:pPr>
      <w:r w:rsidRPr="00C71549">
        <w:rPr>
          <w:b/>
          <w:sz w:val="22"/>
          <w:szCs w:val="22"/>
        </w:rPr>
        <w:t xml:space="preserve">Nota Explicativa </w:t>
      </w:r>
      <w:r w:rsidRPr="00C71549">
        <w:rPr>
          <w:color w:val="auto"/>
          <w:sz w:val="22"/>
          <w:szCs w:val="22"/>
        </w:rPr>
        <w:t xml:space="preserve">– Aquisição de gêneros alimentícios: 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8" w:history="1">
        <w:r w:rsidRPr="00C71549">
          <w:rPr>
            <w:rStyle w:val="Hyperlink"/>
            <w:color w:val="auto"/>
            <w:sz w:val="22"/>
            <w:szCs w:val="22"/>
          </w:rPr>
          <w:t>www.comprasagriculturafamiliar.gov.br</w:t>
        </w:r>
      </w:hyperlink>
      <w:r w:rsidRPr="00C71549">
        <w:rPr>
          <w:color w:val="auto"/>
          <w:sz w:val="22"/>
          <w:szCs w:val="22"/>
        </w:rPr>
        <w:t>. Desse modo, o procedimento licitatório deve ser utilizado em caráter subsidiário.</w:t>
      </w:r>
    </w:p>
    <w:p w14:paraId="78B7BEB5" w14:textId="77777777" w:rsidR="00353CB0" w:rsidRPr="00C71549" w:rsidRDefault="00353CB0" w:rsidP="00353CB0">
      <w:pPr>
        <w:pStyle w:val="Citao"/>
        <w:rPr>
          <w:sz w:val="22"/>
          <w:szCs w:val="22"/>
        </w:rPr>
      </w:pPr>
      <w:r w:rsidRPr="00C71549">
        <w:rPr>
          <w:b/>
          <w:sz w:val="22"/>
          <w:szCs w:val="22"/>
        </w:rPr>
        <w:t>Nota explicativa 2</w:t>
      </w:r>
      <w:r w:rsidRPr="00C71549">
        <w:rPr>
          <w:sz w:val="22"/>
          <w:szCs w:val="22"/>
        </w:rPr>
        <w:t>: Quando houver a previsão de entregas parceladas, o Termo de Referência deverá indicar os quantitativos mínimos por demanda, o cronograma e o local das entregas a fim de permitir a adequada cotação dos custos de logística por parte das licitantes.</w:t>
      </w:r>
    </w:p>
    <w:p w14:paraId="3C1C2CA0" w14:textId="77777777" w:rsidR="00353CB0" w:rsidRPr="00C71549" w:rsidRDefault="00353CB0" w:rsidP="00353CB0">
      <w:pPr>
        <w:pStyle w:val="Citao"/>
        <w:rPr>
          <w:rFonts w:eastAsia="Times New Roman"/>
          <w:iCs w:val="0"/>
          <w:color w:val="auto"/>
          <w:sz w:val="22"/>
          <w:szCs w:val="22"/>
        </w:rPr>
      </w:pPr>
      <w:r w:rsidRPr="00C71549">
        <w:rPr>
          <w:rFonts w:cs="Arial"/>
          <w:b/>
          <w:color w:val="auto"/>
          <w:sz w:val="22"/>
          <w:szCs w:val="22"/>
        </w:rPr>
        <w:t>Valores:</w:t>
      </w:r>
      <w:r w:rsidRPr="00C71549">
        <w:rPr>
          <w:rFonts w:cs="Arial"/>
          <w:color w:val="auto"/>
          <w:sz w:val="22"/>
          <w:szCs w:val="22"/>
        </w:rPr>
        <w:t xml:space="preserve"> </w:t>
      </w:r>
      <w:r w:rsidRPr="00C71549">
        <w:rPr>
          <w:rFonts w:eastAsia="Times New Roman"/>
          <w:iCs w:val="0"/>
          <w:color w:val="auto"/>
          <w:sz w:val="22"/>
          <w:szCs w:val="22"/>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1FE8CE2B" w14:textId="77777777" w:rsidR="00353CB0" w:rsidRPr="00C71549" w:rsidRDefault="00353CB0" w:rsidP="00353CB0">
      <w:pPr>
        <w:pStyle w:val="Citao"/>
        <w:rPr>
          <w:rFonts w:eastAsia="Times New Roman"/>
          <w:iCs w:val="0"/>
          <w:color w:val="auto"/>
          <w:sz w:val="22"/>
          <w:szCs w:val="22"/>
        </w:rPr>
      </w:pPr>
      <w:r w:rsidRPr="00C71549">
        <w:rPr>
          <w:rFonts w:eastAsia="Times New Roman"/>
          <w:iCs w:val="0"/>
          <w:color w:val="auto"/>
          <w:sz w:val="22"/>
          <w:szCs w:val="22"/>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413A0B82" w14:textId="77777777" w:rsidR="00353CB0" w:rsidRPr="00C71549" w:rsidRDefault="00353CB0" w:rsidP="00353CB0">
      <w:pPr>
        <w:pStyle w:val="Citao"/>
        <w:rPr>
          <w:rFonts w:cs="Arial"/>
          <w:color w:val="auto"/>
          <w:sz w:val="22"/>
          <w:szCs w:val="22"/>
        </w:rPr>
      </w:pPr>
      <w:r w:rsidRPr="00C71549">
        <w:rPr>
          <w:rFonts w:eastAsia="Times New Roman"/>
          <w:iCs w:val="0"/>
          <w:color w:val="auto"/>
          <w:sz w:val="22"/>
          <w:szCs w:val="22"/>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6AD8436E" w14:textId="77777777" w:rsidR="00353CB0" w:rsidRPr="00C71549" w:rsidRDefault="00353CB0" w:rsidP="00353CB0">
      <w:pPr>
        <w:pStyle w:val="Citao"/>
        <w:rPr>
          <w:rFonts w:cs="Arial"/>
          <w:b/>
          <w:color w:val="auto"/>
          <w:sz w:val="22"/>
          <w:szCs w:val="22"/>
        </w:rPr>
      </w:pPr>
      <w:r w:rsidRPr="00C71549">
        <w:rPr>
          <w:rFonts w:cs="Arial"/>
          <w:b/>
          <w:color w:val="auto"/>
          <w:sz w:val="22"/>
          <w:szCs w:val="22"/>
        </w:rPr>
        <w:t>Agrupamentos de Itens:</w:t>
      </w:r>
      <w:r w:rsidRPr="00C71549">
        <w:rPr>
          <w:rFonts w:cs="Arial"/>
          <w:color w:val="auto"/>
          <w:sz w:val="22"/>
          <w:szCs w:val="22"/>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w:t>
      </w:r>
      <w:r w:rsidRPr="00C71549">
        <w:rPr>
          <w:rFonts w:cs="Arial"/>
          <w:color w:val="auto"/>
          <w:sz w:val="22"/>
          <w:szCs w:val="22"/>
        </w:rPr>
        <w:lastRenderedPageBreak/>
        <w:t>preço global de grupos de itens apenas se for indispensável para a modelagem contratual, sempre de forma justificada.</w:t>
      </w:r>
    </w:p>
    <w:p w14:paraId="059FBE90" w14:textId="77777777" w:rsidR="00353CB0" w:rsidRPr="00C71549" w:rsidRDefault="00353CB0" w:rsidP="00353CB0">
      <w:pPr>
        <w:pStyle w:val="Citao"/>
        <w:rPr>
          <w:rFonts w:cs="Arial"/>
          <w:b/>
          <w:color w:val="auto"/>
          <w:sz w:val="22"/>
          <w:szCs w:val="22"/>
        </w:rPr>
      </w:pPr>
      <w:r w:rsidRPr="00C71549">
        <w:rPr>
          <w:rFonts w:cs="Arial"/>
          <w:b/>
          <w:color w:val="auto"/>
          <w:sz w:val="22"/>
          <w:szCs w:val="22"/>
        </w:rPr>
        <w:t xml:space="preserve">Margem de preferência: </w:t>
      </w:r>
      <w:r w:rsidRPr="00C71549">
        <w:rPr>
          <w:rFonts w:cs="Arial"/>
          <w:color w:val="auto"/>
          <w:sz w:val="22"/>
          <w:szCs w:val="22"/>
        </w:rPr>
        <w:t>É importante ressaltar que</w:t>
      </w:r>
      <w:r w:rsidRPr="00C71549">
        <w:rPr>
          <w:color w:val="auto"/>
          <w:sz w:val="22"/>
          <w:szCs w:val="22"/>
        </w:rPr>
        <w:t xml:space="preserve"> </w:t>
      </w:r>
      <w:r w:rsidRPr="00C71549">
        <w:rPr>
          <w:rFonts w:cs="Arial"/>
          <w:color w:val="auto"/>
          <w:sz w:val="22"/>
          <w:szCs w:val="22"/>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5C5E477E" w14:textId="77777777" w:rsidR="00353CB0" w:rsidRPr="00C71549" w:rsidRDefault="00353CB0" w:rsidP="00353CB0">
      <w:pPr>
        <w:pStyle w:val="Citao"/>
        <w:rPr>
          <w:rFonts w:cs="Arial"/>
          <w:sz w:val="22"/>
          <w:szCs w:val="22"/>
        </w:rPr>
      </w:pPr>
      <w:r w:rsidRPr="00C71549">
        <w:rPr>
          <w:rFonts w:cs="Arial"/>
          <w:b/>
          <w:sz w:val="22"/>
          <w:szCs w:val="22"/>
        </w:rPr>
        <w:t>Pesquisa Preços</w:t>
      </w:r>
      <w:r w:rsidRPr="00C71549">
        <w:rPr>
          <w:rFonts w:cs="Arial"/>
          <w:sz w:val="22"/>
          <w:szCs w:val="22"/>
        </w:rPr>
        <w:t>: A IN SLTI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14:paraId="27E99AEB" w14:textId="77777777" w:rsidR="00353CB0" w:rsidRPr="00C71549" w:rsidRDefault="00353CB0" w:rsidP="00353CB0">
      <w:pPr>
        <w:pStyle w:val="Citao"/>
        <w:rPr>
          <w:rFonts w:cs="Arial"/>
          <w:sz w:val="22"/>
          <w:szCs w:val="22"/>
        </w:rPr>
      </w:pPr>
      <w:r w:rsidRPr="00C71549">
        <w:rPr>
          <w:rFonts w:cs="Arial"/>
          <w:b/>
          <w:sz w:val="22"/>
          <w:szCs w:val="22"/>
        </w:rPr>
        <w:t>Descrição</w:t>
      </w:r>
      <w:r w:rsidRPr="00C71549">
        <w:rPr>
          <w:rFonts w:cs="Arial"/>
          <w:sz w:val="22"/>
          <w:szCs w:val="22"/>
        </w:rPr>
        <w:t>: Esclarecido esse ponto, 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47E903A9" w14:textId="77777777" w:rsidR="00353CB0" w:rsidRPr="00C71549" w:rsidRDefault="00353CB0" w:rsidP="00353CB0">
      <w:pPr>
        <w:pStyle w:val="Citao"/>
        <w:rPr>
          <w:rFonts w:cs="Arial"/>
          <w:sz w:val="22"/>
          <w:szCs w:val="22"/>
        </w:rPr>
      </w:pPr>
      <w:r w:rsidRPr="00C71549">
        <w:rPr>
          <w:rFonts w:cs="Arial"/>
          <w:b/>
          <w:sz w:val="22"/>
          <w:szCs w:val="22"/>
        </w:rPr>
        <w:t>Marca:</w:t>
      </w:r>
      <w:r w:rsidRPr="00C71549">
        <w:rPr>
          <w:rFonts w:cs="Arial"/>
          <w:sz w:val="22"/>
          <w:szCs w:val="22"/>
        </w:rPr>
        <w:t xml:space="preserve"> É vedada a indicação de marca, características ou especificações exclusivas. Excepcionalmente, esta poderá ocorrer, desde que justificada tecnicamente no processo. </w:t>
      </w:r>
    </w:p>
    <w:p w14:paraId="513E3F83" w14:textId="77777777" w:rsidR="00353CB0" w:rsidRPr="00C71549" w:rsidRDefault="00353CB0" w:rsidP="00353CB0">
      <w:pPr>
        <w:pStyle w:val="Citao"/>
        <w:rPr>
          <w:rFonts w:cs="Arial"/>
          <w:b/>
          <w:color w:val="7030A0"/>
          <w:sz w:val="22"/>
          <w:szCs w:val="22"/>
          <w:u w:val="single"/>
        </w:rPr>
      </w:pPr>
      <w:r w:rsidRPr="00C71549">
        <w:rPr>
          <w:rFonts w:eastAsia="MyriadPro-Regular" w:cs="Arial"/>
          <w:b/>
          <w:sz w:val="22"/>
          <w:szCs w:val="22"/>
        </w:rPr>
        <w:t>Sobre similaridade</w:t>
      </w:r>
      <w:r w:rsidRPr="00C71549">
        <w:rPr>
          <w:rFonts w:eastAsia="MyriadPro-Regular" w:cs="Arial"/>
          <w:sz w:val="22"/>
          <w:szCs w:val="22"/>
        </w:rPr>
        <w:t xml:space="preserve">: “É ilegal a indicação de marcas, salvo quando devidamente justificada por critérios técnicos ou expressamente indicativa da qualidade do material a ser adquirido, nos termos do § 7º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C71549">
        <w:rPr>
          <w:rFonts w:eastAsia="MyriadPro-Regular" w:cs="Arial"/>
          <w:bCs/>
          <w:sz w:val="22"/>
          <w:szCs w:val="22"/>
        </w:rPr>
        <w:t>Acórdão 2300/2007 Plenário, TCU.</w:t>
      </w:r>
    </w:p>
    <w:p w14:paraId="5C176B9D" w14:textId="77777777" w:rsidR="00353CB0" w:rsidRPr="00C71549" w:rsidRDefault="00353CB0" w:rsidP="00353CB0">
      <w:pPr>
        <w:pStyle w:val="Citao"/>
        <w:rPr>
          <w:rFonts w:cs="Arial"/>
          <w:sz w:val="22"/>
          <w:szCs w:val="22"/>
        </w:rPr>
      </w:pPr>
      <w:r w:rsidRPr="00C71549">
        <w:rPr>
          <w:rFonts w:cs="Arial"/>
          <w:b/>
          <w:sz w:val="22"/>
          <w:szCs w:val="22"/>
        </w:rPr>
        <w:t>Padronização</w:t>
      </w:r>
      <w:r w:rsidRPr="00C71549">
        <w:rPr>
          <w:rFonts w:cs="Arial"/>
          <w:sz w:val="22"/>
          <w:szCs w:val="22"/>
        </w:rPr>
        <w:t>: Deve a Administração, ainda, observar o princípio da padronização que imponha compatibilidade de especificações técnicas e de desempenho, observadas, quando for o caso, as condições de manutenção, assistência técnica e garantia oferecidas.</w:t>
      </w:r>
    </w:p>
    <w:p w14:paraId="09885CE0" w14:textId="77777777" w:rsidR="00353CB0" w:rsidRPr="00C71549" w:rsidRDefault="00353CB0" w:rsidP="00353CB0">
      <w:pPr>
        <w:pStyle w:val="Citao"/>
        <w:rPr>
          <w:rFonts w:cs="Arial"/>
          <w:sz w:val="22"/>
          <w:szCs w:val="22"/>
        </w:rPr>
      </w:pPr>
      <w:r w:rsidRPr="00C71549">
        <w:rPr>
          <w:rStyle w:val="normalchar1"/>
          <w:b/>
          <w:sz w:val="22"/>
          <w:szCs w:val="22"/>
        </w:rPr>
        <w:t>Parcelamento</w:t>
      </w:r>
      <w:r w:rsidRPr="00C71549">
        <w:rPr>
          <w:rStyle w:val="normalchar1"/>
          <w:sz w:val="22"/>
          <w:szCs w:val="22"/>
        </w:rPr>
        <w:t>: A regra a ser observada pela Administração nas licitações é a do parcelamento do objeto, conforme disposto no § 1º do art. 23 da Lei nº 8.666, de 1993</w:t>
      </w:r>
      <w:r w:rsidRPr="00C71549">
        <w:rPr>
          <w:rFonts w:cs="Arial"/>
          <w:sz w:val="22"/>
          <w:szCs w:val="22"/>
        </w:rPr>
        <w:t>, mas é imprescindível que a divisão do objeto seja técnica e economicamente viável e não represente perda de economia de escala (Súmula 247 do TCU). Por ser o parcelamento a regra, deve haver justificativa quando este não for adotado.</w:t>
      </w:r>
    </w:p>
    <w:p w14:paraId="4F5FB3FF" w14:textId="77777777" w:rsidR="00353CB0" w:rsidRPr="00C71549" w:rsidRDefault="00353CB0" w:rsidP="00353CB0">
      <w:pPr>
        <w:pStyle w:val="Citao"/>
        <w:rPr>
          <w:rFonts w:cs="Arial"/>
          <w:sz w:val="22"/>
          <w:szCs w:val="22"/>
        </w:rPr>
      </w:pPr>
      <w:r w:rsidRPr="00C71549">
        <w:rPr>
          <w:rFonts w:cs="Arial"/>
          <w:sz w:val="22"/>
          <w:szCs w:val="22"/>
        </w:rPr>
        <w:t xml:space="preserve">No mesmo sentido, e especificamente para compras, </w:t>
      </w:r>
      <w:bookmarkStart w:id="2" w:name="art23§7"/>
      <w:bookmarkEnd w:id="2"/>
      <w:r w:rsidRPr="00C71549">
        <w:rPr>
          <w:rFonts w:cs="Arial"/>
          <w:sz w:val="22"/>
          <w:szCs w:val="22"/>
        </w:rPr>
        <w:t>o § 7</w:t>
      </w:r>
      <w:r w:rsidRPr="00C71549">
        <w:rPr>
          <w:rFonts w:cs="Arial"/>
          <w:sz w:val="22"/>
          <w:szCs w:val="22"/>
          <w:u w:val="single"/>
          <w:vertAlign w:val="superscript"/>
        </w:rPr>
        <w:t>o</w:t>
      </w:r>
      <w:r w:rsidRPr="00C71549">
        <w:rPr>
          <w:rFonts w:cs="Arial"/>
          <w:sz w:val="22"/>
          <w:szCs w:val="22"/>
        </w:rPr>
        <w:t xml:space="preserve">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  </w:t>
      </w:r>
    </w:p>
    <w:p w14:paraId="25892770" w14:textId="77777777" w:rsidR="00353CB0" w:rsidRPr="00C71549" w:rsidRDefault="00353CB0" w:rsidP="00353CB0">
      <w:pPr>
        <w:pStyle w:val="Citao"/>
        <w:rPr>
          <w:rFonts w:cs="Arial"/>
          <w:sz w:val="22"/>
          <w:szCs w:val="22"/>
        </w:rPr>
      </w:pPr>
      <w:r w:rsidRPr="00C71549">
        <w:rPr>
          <w:rFonts w:cs="Arial"/>
          <w:b/>
          <w:sz w:val="22"/>
          <w:szCs w:val="22"/>
        </w:rPr>
        <w:t xml:space="preserve">Consolidação do consumo encaminhado pelos órgãos e entidades participantes: </w:t>
      </w:r>
      <w:r w:rsidRPr="00C71549">
        <w:rPr>
          <w:rFonts w:cs="Arial"/>
          <w:sz w:val="22"/>
          <w:szCs w:val="22"/>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9BAB973" w14:textId="77777777" w:rsidR="00353CB0" w:rsidRPr="00C71549" w:rsidRDefault="00353CB0" w:rsidP="00353CB0">
      <w:pPr>
        <w:pStyle w:val="Citao"/>
        <w:rPr>
          <w:rFonts w:cs="Arial"/>
          <w:sz w:val="22"/>
          <w:szCs w:val="22"/>
        </w:rPr>
      </w:pPr>
      <w:r w:rsidRPr="00C71549">
        <w:rPr>
          <w:rFonts w:cs="Arial"/>
          <w:sz w:val="22"/>
          <w:szCs w:val="22"/>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B692860" w14:textId="77777777" w:rsidR="00353CB0" w:rsidRPr="00C71549" w:rsidRDefault="00353CB0" w:rsidP="00353CB0">
      <w:pPr>
        <w:pStyle w:val="Citao"/>
        <w:rPr>
          <w:rFonts w:cs="Arial"/>
          <w:sz w:val="22"/>
          <w:szCs w:val="22"/>
        </w:rPr>
      </w:pPr>
      <w:r w:rsidRPr="00C71549">
        <w:rPr>
          <w:rFonts w:cs="Arial"/>
          <w:sz w:val="22"/>
          <w:szCs w:val="22"/>
        </w:rPr>
        <w:lastRenderedPageBreak/>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7C3EBC2B" w14:textId="77777777" w:rsidR="00353CB0" w:rsidRPr="00C71549" w:rsidRDefault="00353CB0" w:rsidP="00353CB0">
      <w:pPr>
        <w:pStyle w:val="Citao"/>
        <w:rPr>
          <w:rFonts w:cs="Arial"/>
          <w:sz w:val="22"/>
          <w:szCs w:val="22"/>
        </w:rPr>
      </w:pPr>
      <w:r w:rsidRPr="00C71549">
        <w:rPr>
          <w:rFonts w:cs="Arial"/>
          <w:sz w:val="22"/>
          <w:szCs w:val="22"/>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0DC5C0E6" w14:textId="77777777" w:rsidR="00353CB0" w:rsidRPr="00C71549" w:rsidRDefault="00353CB0" w:rsidP="00353CB0">
      <w:pPr>
        <w:pStyle w:val="Citao"/>
        <w:rPr>
          <w:rFonts w:cs="Arial"/>
          <w:sz w:val="22"/>
          <w:szCs w:val="22"/>
        </w:rPr>
      </w:pPr>
      <w:r w:rsidRPr="00C71549">
        <w:rPr>
          <w:rFonts w:cs="Arial"/>
          <w:b/>
          <w:sz w:val="22"/>
          <w:szCs w:val="22"/>
        </w:rPr>
        <w:t>Vigência da contratação:</w:t>
      </w:r>
      <w:r w:rsidRPr="00C71549">
        <w:rPr>
          <w:rFonts w:cs="Arial"/>
          <w:sz w:val="22"/>
          <w:szCs w:val="22"/>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7685F405" w14:textId="77777777" w:rsidR="00353CB0" w:rsidRPr="00C71549" w:rsidRDefault="00353CB0" w:rsidP="00353CB0">
      <w:pPr>
        <w:pStyle w:val="Citao"/>
        <w:rPr>
          <w:rFonts w:cs="Arial"/>
          <w:sz w:val="22"/>
          <w:szCs w:val="22"/>
        </w:rPr>
      </w:pPr>
      <w:r w:rsidRPr="00C71549">
        <w:rPr>
          <w:rFonts w:cs="Arial"/>
          <w:b/>
          <w:sz w:val="22"/>
          <w:szCs w:val="22"/>
        </w:rPr>
        <w:t>Sustentabilidade</w:t>
      </w:r>
      <w:r w:rsidRPr="00C71549">
        <w:rPr>
          <w:rFonts w:cs="Arial"/>
          <w:sz w:val="22"/>
          <w:szCs w:val="22"/>
        </w:rPr>
        <w:t xml:space="preserve">: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 </w:t>
      </w:r>
      <w:proofErr w:type="spellStart"/>
      <w:r w:rsidRPr="00C71549">
        <w:rPr>
          <w:rFonts w:cs="Arial"/>
          <w:sz w:val="22"/>
          <w:szCs w:val="22"/>
        </w:rPr>
        <w:t>ns</w:t>
      </w:r>
      <w:proofErr w:type="spellEnd"/>
      <w:r w:rsidRPr="00C71549">
        <w:rPr>
          <w:rFonts w:cs="Arial"/>
          <w:sz w:val="22"/>
          <w:szCs w:val="22"/>
        </w:rPr>
        <w:t>. 01/2010 e 01/2014, bem como os atos normativos editados pelos órgãos de proteção ao meio ambiente. Indicamos a consulta ao Guia Nacional de Licitações Sustentáveis, disponibilizado pela Consultoria-Geral da União.</w:t>
      </w:r>
    </w:p>
    <w:p w14:paraId="0BEF5410" w14:textId="77777777" w:rsidR="00353CB0" w:rsidRPr="00C71549" w:rsidRDefault="00353CB0" w:rsidP="00353CB0">
      <w:pPr>
        <w:pStyle w:val="Citao"/>
        <w:rPr>
          <w:rFonts w:cs="Arial"/>
          <w:sz w:val="22"/>
          <w:szCs w:val="22"/>
        </w:rPr>
      </w:pPr>
      <w:r w:rsidRPr="00C71549">
        <w:rPr>
          <w:rFonts w:cs="Arial"/>
          <w:sz w:val="22"/>
          <w:szCs w:val="22"/>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7778A12E" w14:textId="77777777" w:rsidR="00353CB0" w:rsidRPr="00C71549" w:rsidRDefault="00353CB0" w:rsidP="00353CB0">
      <w:pPr>
        <w:pStyle w:val="Citao"/>
        <w:rPr>
          <w:sz w:val="22"/>
          <w:szCs w:val="22"/>
        </w:rPr>
      </w:pPr>
      <w:r w:rsidRPr="00C71549">
        <w:rPr>
          <w:rFonts w:cs="Arial"/>
          <w:sz w:val="22"/>
          <w:szCs w:val="22"/>
        </w:rPr>
        <w:t xml:space="preserve">Lembrar que referida IN n. 01/2010 determina no art. 7°, §1° que se verifique a disponibilidade e a vantagem de reutilização de bens por meio de consulta ao fórum eletrônico de materiais ociosos, que integra o Portal </w:t>
      </w:r>
      <w:proofErr w:type="spellStart"/>
      <w:r w:rsidRPr="00C71549">
        <w:rPr>
          <w:rFonts w:cs="Arial"/>
          <w:sz w:val="22"/>
          <w:szCs w:val="22"/>
        </w:rPr>
        <w:t>Comprasnet</w:t>
      </w:r>
      <w:proofErr w:type="spellEnd"/>
      <w:r w:rsidRPr="00C71549">
        <w:rPr>
          <w:rFonts w:cs="Arial"/>
          <w:sz w:val="22"/>
          <w:szCs w:val="22"/>
        </w:rPr>
        <w:t>, conforme art. 9°.</w:t>
      </w:r>
    </w:p>
    <w:p w14:paraId="69CC6AD4" w14:textId="77777777" w:rsidR="00353CB0" w:rsidRPr="00C71549" w:rsidRDefault="00353CB0" w:rsidP="001A3041">
      <w:pPr>
        <w:pStyle w:val="Nivel1"/>
        <w:ind w:left="567" w:hanging="567"/>
        <w:rPr>
          <w:sz w:val="22"/>
          <w:szCs w:val="22"/>
        </w:rPr>
      </w:pPr>
      <w:r w:rsidRPr="00C71549">
        <w:rPr>
          <w:sz w:val="22"/>
          <w:szCs w:val="22"/>
        </w:rPr>
        <w:t>JUSTIFICATIVA E OBJETIVO DA CONTRATAÇÃO</w:t>
      </w:r>
    </w:p>
    <w:p w14:paraId="622B3070" w14:textId="77777777" w:rsidR="00353CB0" w:rsidRPr="00C71549" w:rsidRDefault="00353CB0" w:rsidP="00353CB0">
      <w:pPr>
        <w:numPr>
          <w:ilvl w:val="1"/>
          <w:numId w:val="7"/>
        </w:numPr>
        <w:spacing w:before="120" w:after="120" w:line="276" w:lineRule="auto"/>
        <w:ind w:left="425" w:firstLine="0"/>
        <w:rPr>
          <w:rFonts w:cs="Arial"/>
          <w:sz w:val="22"/>
        </w:rPr>
      </w:pPr>
      <w:r w:rsidRPr="00C71549">
        <w:rPr>
          <w:rFonts w:cs="Arial"/>
          <w:sz w:val="22"/>
        </w:rPr>
        <w:t xml:space="preserve">.... </w:t>
      </w:r>
    </w:p>
    <w:p w14:paraId="2DEE2855" w14:textId="77777777" w:rsidR="00353CB0" w:rsidRPr="00C71549" w:rsidRDefault="00353CB0" w:rsidP="00353CB0">
      <w:pPr>
        <w:pStyle w:val="Citao"/>
        <w:rPr>
          <w:sz w:val="22"/>
          <w:szCs w:val="22"/>
        </w:rPr>
      </w:pPr>
      <w:r w:rsidRPr="00C71549">
        <w:rPr>
          <w:rFonts w:cs="Arial"/>
          <w:b/>
          <w:color w:val="auto"/>
          <w:sz w:val="22"/>
          <w:szCs w:val="22"/>
        </w:rPr>
        <w:t>Nota Explicativa</w:t>
      </w:r>
      <w:r w:rsidRPr="00C71549">
        <w:rPr>
          <w:rFonts w:cs="Arial"/>
          <w:color w:val="auto"/>
          <w:sz w:val="22"/>
          <w:szCs w:val="22"/>
        </w:rPr>
        <w:t xml:space="preserve">: Conforme previsto na Súmula 177 do TCU, a justificativa há de ser clara, precisa e suficiente, sendo vedadas justificativas genéricas, incapazes de demonstrar de forma cabal a necessidade da Administração. </w:t>
      </w:r>
    </w:p>
    <w:p w14:paraId="248E1115" w14:textId="77777777" w:rsidR="00353CB0" w:rsidRPr="00C71549" w:rsidRDefault="00353CB0" w:rsidP="00353CB0">
      <w:pPr>
        <w:pStyle w:val="Citao"/>
        <w:rPr>
          <w:rFonts w:cs="Arial"/>
          <w:color w:val="auto"/>
          <w:sz w:val="22"/>
          <w:szCs w:val="22"/>
        </w:rPr>
      </w:pPr>
      <w:r w:rsidRPr="00C71549">
        <w:rPr>
          <w:rFonts w:cs="Arial"/>
          <w:color w:val="auto"/>
          <w:sz w:val="22"/>
          <w:szCs w:val="22"/>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C71549">
        <w:rPr>
          <w:rFonts w:cs="Arial"/>
          <w:color w:val="auto"/>
          <w:sz w:val="22"/>
          <w:szCs w:val="22"/>
        </w:rPr>
        <w:t>Ex</w:t>
      </w:r>
      <w:proofErr w:type="spellEnd"/>
      <w:r w:rsidRPr="00C71549">
        <w:rPr>
          <w:rFonts w:cs="Arial"/>
          <w:color w:val="auto"/>
          <w:sz w:val="22"/>
          <w:szCs w:val="22"/>
        </w:rPr>
        <w:t xml:space="preserve">: consumo do exercício anterior, necessidade de substituição dos bens atualmente disponíveis, implantação de setor, acréscimo de atividades, </w:t>
      </w:r>
      <w:proofErr w:type="spellStart"/>
      <w:r w:rsidRPr="00C71549">
        <w:rPr>
          <w:rFonts w:cs="Arial"/>
          <w:color w:val="auto"/>
          <w:sz w:val="22"/>
          <w:szCs w:val="22"/>
        </w:rPr>
        <w:t>etc</w:t>
      </w:r>
      <w:proofErr w:type="spellEnd"/>
      <w:r w:rsidRPr="00C71549">
        <w:rPr>
          <w:rFonts w:cs="Arial"/>
          <w:color w:val="auto"/>
          <w:sz w:val="22"/>
          <w:szCs w:val="22"/>
        </w:rPr>
        <w:t>). Portanto, deve contemplar:</w:t>
      </w:r>
    </w:p>
    <w:p w14:paraId="7932220D" w14:textId="77777777" w:rsidR="00353CB0" w:rsidRPr="00C71549" w:rsidRDefault="00353CB0" w:rsidP="00353CB0">
      <w:pPr>
        <w:pStyle w:val="Citao"/>
        <w:rPr>
          <w:rFonts w:cs="Arial"/>
          <w:color w:val="auto"/>
          <w:sz w:val="22"/>
          <w:szCs w:val="22"/>
        </w:rPr>
      </w:pPr>
      <w:r w:rsidRPr="00C71549">
        <w:rPr>
          <w:rFonts w:cs="Arial"/>
          <w:color w:val="auto"/>
          <w:sz w:val="22"/>
          <w:szCs w:val="22"/>
        </w:rPr>
        <w:t>a) a razão da necessidade da aquisição;</w:t>
      </w:r>
    </w:p>
    <w:p w14:paraId="13513B3F" w14:textId="77777777" w:rsidR="00353CB0" w:rsidRPr="00C71549" w:rsidRDefault="00353CB0" w:rsidP="00353CB0">
      <w:pPr>
        <w:pStyle w:val="Citao"/>
        <w:rPr>
          <w:rFonts w:cs="Arial"/>
          <w:color w:val="auto"/>
          <w:sz w:val="22"/>
          <w:szCs w:val="22"/>
        </w:rPr>
      </w:pPr>
      <w:r w:rsidRPr="00C71549">
        <w:rPr>
          <w:rFonts w:cs="Arial"/>
          <w:color w:val="auto"/>
          <w:sz w:val="22"/>
          <w:szCs w:val="22"/>
        </w:rPr>
        <w:t>b) as especificações técnicas dos bens; e</w:t>
      </w:r>
    </w:p>
    <w:p w14:paraId="2E5A905E" w14:textId="77777777" w:rsidR="00353CB0" w:rsidRPr="00C71549" w:rsidRDefault="00353CB0" w:rsidP="00353CB0">
      <w:pPr>
        <w:pStyle w:val="Citao"/>
        <w:rPr>
          <w:rFonts w:cs="Arial"/>
          <w:color w:val="auto"/>
          <w:sz w:val="22"/>
          <w:szCs w:val="22"/>
        </w:rPr>
      </w:pPr>
      <w:r w:rsidRPr="00C71549">
        <w:rPr>
          <w:rFonts w:cs="Arial"/>
          <w:color w:val="auto"/>
          <w:sz w:val="22"/>
          <w:szCs w:val="22"/>
        </w:rPr>
        <w:t>c) o quantitativo de serviço demandado.</w:t>
      </w:r>
    </w:p>
    <w:p w14:paraId="63612DA1" w14:textId="77777777" w:rsidR="00353CB0" w:rsidRPr="00C71549" w:rsidRDefault="00353CB0" w:rsidP="00353CB0">
      <w:pPr>
        <w:pStyle w:val="Citao"/>
        <w:rPr>
          <w:rFonts w:cs="Arial"/>
          <w:sz w:val="22"/>
          <w:szCs w:val="22"/>
        </w:rPr>
      </w:pPr>
      <w:r w:rsidRPr="00C71549">
        <w:rPr>
          <w:rFonts w:cs="Arial"/>
          <w:color w:val="auto"/>
          <w:sz w:val="22"/>
          <w:szCs w:val="22"/>
        </w:rPr>
        <w:lastRenderedPageBreak/>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22205E45" w14:textId="77777777" w:rsidR="00353CB0" w:rsidRPr="00C71549" w:rsidRDefault="00353CB0" w:rsidP="001A3041">
      <w:pPr>
        <w:pStyle w:val="Nivel1"/>
        <w:ind w:left="567" w:hanging="567"/>
        <w:rPr>
          <w:sz w:val="22"/>
          <w:szCs w:val="22"/>
        </w:rPr>
      </w:pPr>
      <w:r w:rsidRPr="00C71549">
        <w:rPr>
          <w:sz w:val="22"/>
          <w:szCs w:val="22"/>
        </w:rPr>
        <w:t>CLASSIFICAÇÃO DOS BENS COMUNS</w:t>
      </w:r>
    </w:p>
    <w:p w14:paraId="4ECD3C4E" w14:textId="77777777" w:rsidR="00353CB0" w:rsidRPr="00C71549" w:rsidRDefault="00353CB0" w:rsidP="00353CB0">
      <w:pPr>
        <w:pStyle w:val="PargrafodaLista"/>
        <w:numPr>
          <w:ilvl w:val="1"/>
          <w:numId w:val="7"/>
        </w:numPr>
        <w:spacing w:after="0" w:line="240" w:lineRule="auto"/>
        <w:jc w:val="left"/>
        <w:rPr>
          <w:rFonts w:cs="Arial"/>
          <w:bCs/>
          <w:sz w:val="22"/>
        </w:rPr>
      </w:pPr>
      <w:r w:rsidRPr="00C71549">
        <w:rPr>
          <w:rFonts w:cs="Arial"/>
          <w:bCs/>
          <w:sz w:val="22"/>
        </w:rPr>
        <w:t xml:space="preserve">O objeto a ser contratado é comum nos termos do parágrafo único, do art. 1°, da Lei 10.520, de 2002.  </w:t>
      </w:r>
    </w:p>
    <w:p w14:paraId="328F61DD"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xml:space="preserve">: Deve a Administração definir se natureza do objeto a ser contratado é comum nos termos do parágrafo único, do art. 1°, da Lei 10.520, de 2002.  </w:t>
      </w:r>
    </w:p>
    <w:p w14:paraId="41AA39D8" w14:textId="77777777" w:rsidR="00353CB0" w:rsidRPr="00C71549" w:rsidRDefault="00353CB0" w:rsidP="001A3041">
      <w:pPr>
        <w:pStyle w:val="Nivel1"/>
        <w:ind w:left="567" w:hanging="567"/>
        <w:rPr>
          <w:sz w:val="22"/>
          <w:szCs w:val="22"/>
        </w:rPr>
      </w:pPr>
      <w:r w:rsidRPr="00C71549">
        <w:rPr>
          <w:sz w:val="22"/>
          <w:szCs w:val="22"/>
        </w:rPr>
        <w:t>ENTREGA E CRITÉRIOS DE ACEITAÇÃO DO OBJETO.</w:t>
      </w:r>
    </w:p>
    <w:p w14:paraId="3A79F626"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Este item deve ser adaptado de acordo com as necessidades específicas do órgão ou entidade, apresentando-se, este modelo, de forma meramente exemplificativa.</w:t>
      </w:r>
    </w:p>
    <w:p w14:paraId="73E4F21C" w14:textId="77777777" w:rsidR="00353CB0" w:rsidRPr="00C71549" w:rsidRDefault="00353CB0" w:rsidP="00353CB0">
      <w:pPr>
        <w:pStyle w:val="PargrafodaLista"/>
        <w:numPr>
          <w:ilvl w:val="1"/>
          <w:numId w:val="7"/>
        </w:numPr>
        <w:spacing w:after="0" w:line="240" w:lineRule="auto"/>
        <w:jc w:val="left"/>
        <w:rPr>
          <w:rFonts w:cs="Arial"/>
          <w:iCs/>
          <w:sz w:val="22"/>
        </w:rPr>
      </w:pPr>
      <w:r w:rsidRPr="00C71549">
        <w:rPr>
          <w:rFonts w:cs="Arial"/>
          <w:iCs/>
          <w:sz w:val="22"/>
        </w:rPr>
        <w:t>O prazo de entrega dos bens é de 20 (vinte) dias, contados do envio da nota de empenho, em remessa única, no endereço: Avenida Carlos Gomes, N° 501, Caiari, CEP:76801-166 - Porto Velho/RO.</w:t>
      </w:r>
    </w:p>
    <w:p w14:paraId="31290200" w14:textId="77777777" w:rsidR="00353CB0" w:rsidRPr="00C71549" w:rsidRDefault="00353CB0" w:rsidP="00353CB0">
      <w:pPr>
        <w:pStyle w:val="Citao"/>
        <w:rPr>
          <w:rFonts w:cs="Arial"/>
          <w:b/>
          <w:bCs/>
          <w:sz w:val="22"/>
          <w:szCs w:val="22"/>
        </w:rPr>
      </w:pPr>
      <w:r w:rsidRPr="00C71549">
        <w:rPr>
          <w:rFonts w:cs="Arial"/>
          <w:b/>
          <w:sz w:val="22"/>
          <w:szCs w:val="22"/>
        </w:rPr>
        <w:t>Nota explicativa</w:t>
      </w:r>
      <w:r w:rsidRPr="00C71549">
        <w:rPr>
          <w:rFonts w:cs="Arial"/>
          <w:sz w:val="22"/>
          <w:szCs w:val="22"/>
        </w:rPr>
        <w:t>: em caso de remessa parcelada, discriminar as respectivas parcelas, prazos e condições.</w:t>
      </w:r>
    </w:p>
    <w:p w14:paraId="0D3E8E26" w14:textId="77777777" w:rsidR="00353CB0" w:rsidRPr="00C71549" w:rsidRDefault="00353CB0" w:rsidP="00353CB0">
      <w:pPr>
        <w:numPr>
          <w:ilvl w:val="1"/>
          <w:numId w:val="7"/>
        </w:numPr>
        <w:spacing w:before="120" w:after="120" w:line="276" w:lineRule="auto"/>
        <w:ind w:left="425" w:firstLine="0"/>
        <w:rPr>
          <w:rFonts w:cs="Arial"/>
          <w:bCs/>
          <w:color w:val="FF0000"/>
          <w:sz w:val="22"/>
        </w:rPr>
      </w:pPr>
      <w:r w:rsidRPr="00C71549">
        <w:rPr>
          <w:rFonts w:cs="Arial"/>
          <w:bCs/>
          <w:color w:val="FF0000"/>
          <w:sz w:val="22"/>
        </w:rPr>
        <w:t xml:space="preserve">No caso de produtos perecíveis, o prazo de validade na data da entrega não poderá ser inferior a 12 (doze) meses, da data de aquisição pelo CAU/RO, ou a dois terços do prazo total recomendado pelo </w:t>
      </w:r>
      <w:proofErr w:type="gramStart"/>
      <w:r w:rsidRPr="00C71549">
        <w:rPr>
          <w:rFonts w:cs="Arial"/>
          <w:bCs/>
          <w:color w:val="FF0000"/>
          <w:sz w:val="22"/>
        </w:rPr>
        <w:t>fabricante..</w:t>
      </w:r>
      <w:proofErr w:type="gramEnd"/>
    </w:p>
    <w:p w14:paraId="33DFFA9B" w14:textId="77777777" w:rsidR="00353CB0" w:rsidRPr="00C71549" w:rsidRDefault="00353CB0" w:rsidP="00353CB0">
      <w:pPr>
        <w:numPr>
          <w:ilvl w:val="1"/>
          <w:numId w:val="7"/>
        </w:numPr>
        <w:spacing w:before="120" w:after="120" w:line="276" w:lineRule="auto"/>
        <w:ind w:left="425" w:firstLine="0"/>
        <w:rPr>
          <w:rFonts w:cs="Arial"/>
          <w:b/>
          <w:bCs/>
          <w:sz w:val="22"/>
        </w:rPr>
      </w:pPr>
      <w:r w:rsidRPr="00C71549">
        <w:rPr>
          <w:rFonts w:cs="Arial"/>
          <w:sz w:val="22"/>
        </w:rPr>
        <w:t xml:space="preserve">Os bens serão recebidos provisoriamente no prazo de </w:t>
      </w:r>
      <w:proofErr w:type="gramStart"/>
      <w:r w:rsidRPr="00C71549">
        <w:rPr>
          <w:rFonts w:cs="Arial"/>
          <w:color w:val="FF0000"/>
          <w:sz w:val="22"/>
        </w:rPr>
        <w:t>.....</w:t>
      </w:r>
      <w:proofErr w:type="gramEnd"/>
      <w:r w:rsidRPr="00C71549">
        <w:rPr>
          <w:rFonts w:cs="Arial"/>
          <w:color w:val="FF0000"/>
          <w:sz w:val="22"/>
        </w:rPr>
        <w:t>(.....)</w:t>
      </w:r>
      <w:r w:rsidRPr="00C71549">
        <w:rPr>
          <w:rFonts w:cs="Arial"/>
          <w:sz w:val="22"/>
        </w:rPr>
        <w:t xml:space="preserve"> dias, pelo(a) </w:t>
      </w:r>
      <w:r w:rsidRPr="00C71549">
        <w:rPr>
          <w:rFonts w:cs="Arial"/>
          <w:iCs/>
          <w:sz w:val="22"/>
        </w:rPr>
        <w:t>responsável</w:t>
      </w:r>
      <w:r w:rsidRPr="00C71549">
        <w:rPr>
          <w:rFonts w:cs="Arial"/>
          <w:sz w:val="22"/>
        </w:rPr>
        <w:t xml:space="preserve"> pelo acompanhamento e fiscalização do contrato, para efeito de posterior verificação de sua conformidade com as especificações constantes neste Termo de Referência e na proposta. </w:t>
      </w:r>
    </w:p>
    <w:p w14:paraId="329DEBFE"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Nos termos do art. 74 da Lei n° 8.666, de 1993, poderá ser dispensado o recebimento provisório nos casos de gêneros perecíveis e alimentação preparada.</w:t>
      </w:r>
    </w:p>
    <w:p w14:paraId="6F734763" w14:textId="77777777" w:rsidR="00353CB0" w:rsidRPr="00C71549" w:rsidRDefault="00353CB0" w:rsidP="00353CB0">
      <w:pPr>
        <w:numPr>
          <w:ilvl w:val="1"/>
          <w:numId w:val="7"/>
        </w:numPr>
        <w:spacing w:before="120" w:after="120" w:line="276" w:lineRule="auto"/>
        <w:ind w:left="425" w:firstLine="0"/>
        <w:rPr>
          <w:rFonts w:cs="Arial"/>
          <w:bCs/>
          <w:sz w:val="22"/>
        </w:rPr>
      </w:pPr>
      <w:r w:rsidRPr="00C71549">
        <w:rPr>
          <w:rFonts w:cs="Arial"/>
          <w:bCs/>
          <w:sz w:val="22"/>
        </w:rPr>
        <w:t xml:space="preserve">Os bens poderão ser rejeitados, no todo ou em parte, quando em desacordo com as especificações constantes neste Termo de Referência e na proposta, devendo ser substituídos no prazo de </w:t>
      </w:r>
      <w:r w:rsidRPr="00C71549">
        <w:rPr>
          <w:rFonts w:ascii="Arial" w:eastAsia="Times New Roman" w:hAnsi="Arial" w:cs="Arial"/>
          <w:bCs/>
          <w:sz w:val="22"/>
        </w:rPr>
        <w:t>10 (dez) dias, a contar da notificação da contratada, às suas custas, sem prejuízo da aplicação das penalidades</w:t>
      </w:r>
      <w:r w:rsidRPr="00C71549">
        <w:rPr>
          <w:rFonts w:cs="Arial"/>
          <w:bCs/>
          <w:sz w:val="22"/>
        </w:rPr>
        <w:t>.</w:t>
      </w:r>
    </w:p>
    <w:p w14:paraId="3486922F"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bCs/>
          <w:sz w:val="22"/>
        </w:rPr>
      </w:pPr>
      <w:r w:rsidRPr="00C71549">
        <w:rPr>
          <w:rFonts w:cs="Arial"/>
          <w:sz w:val="22"/>
        </w:rPr>
        <w:t>Os</w:t>
      </w:r>
      <w:r w:rsidRPr="00C71549">
        <w:rPr>
          <w:rFonts w:ascii="Arial" w:eastAsia="Times New Roman" w:hAnsi="Arial" w:cs="Arial"/>
          <w:sz w:val="22"/>
        </w:rPr>
        <w:t xml:space="preserve"> bens serão recebidos definitivamente no prazo de </w:t>
      </w:r>
      <w:r w:rsidRPr="00C71549">
        <w:rPr>
          <w:rFonts w:ascii="Arial" w:eastAsia="Times New Roman" w:hAnsi="Arial" w:cs="Tahoma"/>
          <w:color w:val="auto"/>
          <w:sz w:val="22"/>
        </w:rPr>
        <w:t>5 (cinco)</w:t>
      </w:r>
      <w:r w:rsidRPr="00C71549">
        <w:rPr>
          <w:rFonts w:ascii="Arial" w:eastAsia="Times New Roman" w:hAnsi="Arial" w:cs="Arial"/>
          <w:sz w:val="22"/>
        </w:rPr>
        <w:t xml:space="preserve"> dias, contados do recebimento provisório, após a verificação da qualidade e quantidade do material e consequente aceitação mediante termo circunstanciado.</w:t>
      </w:r>
    </w:p>
    <w:p w14:paraId="29A2DA3C" w14:textId="77777777" w:rsidR="00353CB0" w:rsidRPr="00C71549" w:rsidRDefault="00353CB0" w:rsidP="00353CB0">
      <w:pPr>
        <w:numPr>
          <w:ilvl w:val="2"/>
          <w:numId w:val="7"/>
        </w:numPr>
        <w:spacing w:before="120" w:after="120" w:line="276" w:lineRule="auto"/>
        <w:ind w:left="1134" w:firstLine="0"/>
        <w:rPr>
          <w:rFonts w:cs="Arial"/>
          <w:b/>
          <w:bCs/>
          <w:sz w:val="22"/>
        </w:rPr>
      </w:pPr>
      <w:r w:rsidRPr="00C71549">
        <w:rPr>
          <w:rFonts w:cs="Arial"/>
          <w:sz w:val="22"/>
          <w:lang w:eastAsia="en-US"/>
        </w:rPr>
        <w:t>Na hipótese de a verificação a que se refere o subitem anterior não ser procedida dentro do prazo fixado, reputar-se-á como realizada, consumando-se o recebimento definitivo no dia do esgotamento do prazo.</w:t>
      </w:r>
    </w:p>
    <w:p w14:paraId="679AFC5F" w14:textId="77777777" w:rsidR="00353CB0" w:rsidRPr="00C71549" w:rsidRDefault="00353CB0" w:rsidP="00353CB0">
      <w:pPr>
        <w:numPr>
          <w:ilvl w:val="1"/>
          <w:numId w:val="7"/>
        </w:numPr>
        <w:spacing w:before="120" w:after="120" w:line="276" w:lineRule="auto"/>
        <w:ind w:left="425" w:firstLine="0"/>
        <w:rPr>
          <w:rFonts w:cs="Arial"/>
          <w:sz w:val="22"/>
        </w:rPr>
      </w:pPr>
      <w:r w:rsidRPr="00C71549">
        <w:rPr>
          <w:rFonts w:cs="Arial"/>
          <w:sz w:val="22"/>
          <w:lang w:eastAsia="en-US"/>
        </w:rPr>
        <w:t>O recebimento provisório ou definitivo do objeto não exclui a responsabilidade da contratada pelos prejuízos resultantes da incorreta execução do contrato.</w:t>
      </w:r>
    </w:p>
    <w:p w14:paraId="3FD0BAC7" w14:textId="77777777" w:rsidR="00353CB0" w:rsidRPr="00C71549" w:rsidRDefault="00353CB0" w:rsidP="001A3041">
      <w:pPr>
        <w:pStyle w:val="Nivel1"/>
        <w:ind w:left="567" w:hanging="567"/>
        <w:rPr>
          <w:sz w:val="22"/>
          <w:szCs w:val="22"/>
        </w:rPr>
      </w:pPr>
      <w:r w:rsidRPr="00C71549">
        <w:rPr>
          <w:sz w:val="22"/>
          <w:szCs w:val="22"/>
          <w:lang w:eastAsia="en-US"/>
        </w:rPr>
        <w:lastRenderedPageBreak/>
        <w:t>OBRIGAÇÕES DA CONTRATANTE</w:t>
      </w:r>
    </w:p>
    <w:p w14:paraId="459A3E35" w14:textId="77777777" w:rsidR="00353CB0" w:rsidRPr="00C71549" w:rsidRDefault="00353CB0" w:rsidP="00353CB0">
      <w:pPr>
        <w:numPr>
          <w:ilvl w:val="1"/>
          <w:numId w:val="7"/>
        </w:numPr>
        <w:spacing w:before="120" w:after="120" w:line="276" w:lineRule="auto"/>
        <w:ind w:left="425" w:firstLine="0"/>
        <w:rPr>
          <w:rFonts w:cs="Arial"/>
          <w:b/>
          <w:sz w:val="22"/>
        </w:rPr>
      </w:pPr>
      <w:r w:rsidRPr="00C71549">
        <w:rPr>
          <w:rFonts w:cs="Arial"/>
          <w:sz w:val="22"/>
        </w:rPr>
        <w:t>São obrigações da Contratante:</w:t>
      </w:r>
    </w:p>
    <w:p w14:paraId="49514FE5"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receber o objeto no prazo e condições estabelecidas no Edital e seus anexos;</w:t>
      </w:r>
    </w:p>
    <w:p w14:paraId="4F72D976"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lang w:eastAsia="en-US"/>
        </w:rPr>
        <w:t>verificar minuciosamente, no prazo fixado, a conformidade dos bens recebidos provisoriamente com as especificações constantes do Edital e da proposta, para fins de aceitação e recebimento definitivo;</w:t>
      </w:r>
    </w:p>
    <w:p w14:paraId="040D5279"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comunicar à Contratada, por escrito, sobre imperfeições, falhas ou irregularidades verificadas no objeto fornecido, para que seja substituído, reparado ou corrigido;</w:t>
      </w:r>
    </w:p>
    <w:p w14:paraId="0E218DD4"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lang w:eastAsia="en-US"/>
        </w:rPr>
        <w:t>acompanhar e fiscalizar o cumprimento das obrigações da Contratada, através de comissão/servidor especialmente designado;</w:t>
      </w:r>
    </w:p>
    <w:p w14:paraId="384AB563"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efetuar o pagamento à Contratada</w:t>
      </w:r>
      <w:r w:rsidRPr="00C71549">
        <w:rPr>
          <w:rFonts w:cs="Arial"/>
          <w:b/>
          <w:sz w:val="22"/>
        </w:rPr>
        <w:t xml:space="preserve"> </w:t>
      </w:r>
      <w:r w:rsidRPr="00C71549">
        <w:rPr>
          <w:rFonts w:cs="Arial"/>
          <w:sz w:val="22"/>
        </w:rPr>
        <w:t>no valor correspondente ao fornecimento do objeto, no prazo e forma estabelecidos no Edital e seus anexos;</w:t>
      </w:r>
    </w:p>
    <w:p w14:paraId="251D79B9" w14:textId="77777777" w:rsidR="00353CB0" w:rsidRPr="00C71549" w:rsidRDefault="00353CB0" w:rsidP="00353CB0">
      <w:pPr>
        <w:numPr>
          <w:ilvl w:val="1"/>
          <w:numId w:val="7"/>
        </w:numPr>
        <w:spacing w:before="120" w:after="120" w:line="276" w:lineRule="auto"/>
        <w:ind w:left="425" w:firstLine="0"/>
        <w:rPr>
          <w:rFonts w:cs="Arial"/>
          <w:b/>
          <w:sz w:val="22"/>
        </w:rPr>
      </w:pPr>
      <w:r w:rsidRPr="00C71549">
        <w:rPr>
          <w:rFonts w:cs="Arial"/>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D3711D" w14:textId="77777777" w:rsidR="00353CB0" w:rsidRPr="00C71549" w:rsidRDefault="00353CB0" w:rsidP="001A3041">
      <w:pPr>
        <w:pStyle w:val="Nivel1"/>
        <w:ind w:left="567" w:hanging="567"/>
        <w:rPr>
          <w:sz w:val="22"/>
          <w:szCs w:val="22"/>
        </w:rPr>
      </w:pPr>
      <w:r w:rsidRPr="00C71549">
        <w:rPr>
          <w:sz w:val="22"/>
          <w:szCs w:val="22"/>
        </w:rPr>
        <w:t>OBRIGAÇÕES DA CONTRATADA</w:t>
      </w:r>
    </w:p>
    <w:p w14:paraId="28A76D9B" w14:textId="77777777" w:rsidR="00353CB0" w:rsidRPr="00C71549" w:rsidRDefault="00353CB0" w:rsidP="00353CB0">
      <w:pPr>
        <w:numPr>
          <w:ilvl w:val="1"/>
          <w:numId w:val="7"/>
        </w:numPr>
        <w:spacing w:before="120" w:after="120" w:line="276" w:lineRule="auto"/>
        <w:ind w:left="425" w:firstLine="0"/>
        <w:rPr>
          <w:rFonts w:cs="Arial"/>
          <w:b/>
          <w:sz w:val="22"/>
        </w:rPr>
      </w:pPr>
      <w:r w:rsidRPr="00C71549">
        <w:rPr>
          <w:rFonts w:cs="Arial"/>
          <w:sz w:val="22"/>
        </w:rPr>
        <w:t>A Contratada deve cumprir todas as obrigações constantes no Edital, seus anexos e sua proposta, assumindo como exclusivamente seus os riscos e as despesas decorrentes da boa e perfeita execução do objeto e, ainda:</w:t>
      </w:r>
    </w:p>
    <w:p w14:paraId="3A24A7C1" w14:textId="77777777" w:rsidR="00353CB0" w:rsidRPr="00C71549" w:rsidRDefault="00353CB0" w:rsidP="00353CB0">
      <w:pPr>
        <w:numPr>
          <w:ilvl w:val="2"/>
          <w:numId w:val="7"/>
        </w:numPr>
        <w:spacing w:before="120" w:after="120" w:line="276" w:lineRule="auto"/>
        <w:ind w:left="1134" w:firstLine="0"/>
        <w:rPr>
          <w:rFonts w:cs="Arial"/>
          <w:b/>
          <w:sz w:val="22"/>
        </w:rPr>
      </w:pPr>
      <w:r w:rsidRPr="00C71549">
        <w:rPr>
          <w:rFonts w:cs="Arial"/>
          <w:sz w:val="22"/>
        </w:rPr>
        <w:t>efetuar a entrega do objeto em perfeitas condições, conforme especificações, prazo e local constantes no Termo de Referência e seus anexos, acompanhado da respectiva nota fiscal.</w:t>
      </w:r>
    </w:p>
    <w:p w14:paraId="2B4465CA" w14:textId="77777777" w:rsidR="00353CB0" w:rsidRPr="00C71549" w:rsidRDefault="00353CB0" w:rsidP="00353CB0">
      <w:pPr>
        <w:pStyle w:val="Citao"/>
        <w:rPr>
          <w:rFonts w:cs="Arial"/>
          <w:b/>
          <w:sz w:val="22"/>
          <w:szCs w:val="22"/>
        </w:rPr>
      </w:pPr>
      <w:r w:rsidRPr="00C71549">
        <w:rPr>
          <w:rFonts w:cs="Arial"/>
          <w:b/>
          <w:sz w:val="22"/>
          <w:szCs w:val="22"/>
        </w:rPr>
        <w:t xml:space="preserve">Nota Explicativa: </w:t>
      </w:r>
      <w:r w:rsidRPr="00C71549">
        <w:rPr>
          <w:rFonts w:cs="Arial"/>
          <w:sz w:val="22"/>
          <w:szCs w:val="22"/>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7A01C594" w14:textId="77777777" w:rsidR="00353CB0" w:rsidRPr="00C71549" w:rsidRDefault="00353CB0" w:rsidP="00353CB0">
      <w:pPr>
        <w:numPr>
          <w:ilvl w:val="3"/>
          <w:numId w:val="7"/>
        </w:numPr>
        <w:spacing w:before="120" w:after="120" w:line="276" w:lineRule="auto"/>
        <w:ind w:left="1701" w:firstLine="0"/>
        <w:rPr>
          <w:rFonts w:cs="Arial"/>
          <w:i/>
          <w:color w:val="FF0000"/>
          <w:sz w:val="22"/>
        </w:rPr>
      </w:pPr>
      <w:r w:rsidRPr="00C71549">
        <w:rPr>
          <w:rFonts w:cs="Arial"/>
          <w:color w:val="FF0000"/>
          <w:sz w:val="22"/>
        </w:rPr>
        <w:t>O</w:t>
      </w:r>
      <w:r w:rsidRPr="00C71549">
        <w:rPr>
          <w:rFonts w:cs="Arial"/>
          <w:i/>
          <w:color w:val="FF0000"/>
          <w:sz w:val="22"/>
        </w:rPr>
        <w:t xml:space="preserve"> objeto deve estar acompanhado do manual do usuário, com uma </w:t>
      </w:r>
      <w:r w:rsidRPr="00C71549">
        <w:rPr>
          <w:rFonts w:cs="Arial"/>
          <w:bCs/>
          <w:i/>
          <w:iCs/>
          <w:color w:val="FF0000"/>
          <w:sz w:val="22"/>
          <w:lang w:eastAsia="en-US"/>
        </w:rPr>
        <w:t>versão</w:t>
      </w:r>
      <w:r w:rsidRPr="00C71549">
        <w:rPr>
          <w:rFonts w:cs="Arial"/>
          <w:i/>
          <w:color w:val="FF0000"/>
          <w:sz w:val="22"/>
        </w:rPr>
        <w:t xml:space="preserve"> em português e da relação da rede de assistência técnica autorizada;</w:t>
      </w:r>
    </w:p>
    <w:p w14:paraId="3105BEBF"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responsabilizar-se pelos vícios e danos decorrentes do objeto, de acordo com os artigos 12, 13 e 17 a 27, do Código de Defesa do Consumidor (Lei nº 8.078, de 1990);</w:t>
      </w:r>
    </w:p>
    <w:p w14:paraId="44736227"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substituir, reparar ou corrigir, às suas expensas, no prazo fixado neste Termo de Referência, o objeto com avarias ou defeitos;</w:t>
      </w:r>
    </w:p>
    <w:p w14:paraId="198957EC"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comunicar à Contratante, no prazo máximo de 24 (vinte e quatro) horas que antecede a data da entrega, os motivos que impossibilitem o cumprimento do prazo previsto, com a devida comprovação;</w:t>
      </w:r>
    </w:p>
    <w:p w14:paraId="44FEC5D6"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t>manter, durante toda a execução do contrato, em compatibilidade com as obrigações assumidas, todas as condições de habilitação e qualificação exigidas na licitação;</w:t>
      </w:r>
    </w:p>
    <w:p w14:paraId="7CF8790E" w14:textId="77777777" w:rsidR="00353CB0" w:rsidRPr="00C71549" w:rsidRDefault="00353CB0" w:rsidP="00353CB0">
      <w:pPr>
        <w:numPr>
          <w:ilvl w:val="2"/>
          <w:numId w:val="7"/>
        </w:numPr>
        <w:spacing w:before="120" w:after="120" w:line="276" w:lineRule="auto"/>
        <w:ind w:left="1134" w:firstLine="0"/>
        <w:rPr>
          <w:rFonts w:cs="Arial"/>
          <w:sz w:val="22"/>
        </w:rPr>
      </w:pPr>
      <w:r w:rsidRPr="00C71549">
        <w:rPr>
          <w:rFonts w:cs="Arial"/>
          <w:sz w:val="22"/>
        </w:rPr>
        <w:lastRenderedPageBreak/>
        <w:t>indicar preposto para representá-la durante a execução do contrato.</w:t>
      </w:r>
    </w:p>
    <w:p w14:paraId="634917E1" w14:textId="77777777" w:rsidR="00353CB0" w:rsidRPr="00C71549" w:rsidRDefault="00353CB0" w:rsidP="00353CB0">
      <w:pPr>
        <w:pStyle w:val="Citao"/>
        <w:rPr>
          <w:rFonts w:cs="Arial"/>
          <w:sz w:val="22"/>
          <w:szCs w:val="22"/>
        </w:rPr>
      </w:pPr>
      <w:r w:rsidRPr="00C71549">
        <w:rPr>
          <w:rFonts w:cs="Arial"/>
          <w:b/>
          <w:sz w:val="22"/>
          <w:szCs w:val="22"/>
        </w:rPr>
        <w:t>Nota Explicativa</w:t>
      </w:r>
      <w:r w:rsidRPr="00C71549">
        <w:rPr>
          <w:rFonts w:cs="Arial"/>
          <w:sz w:val="22"/>
          <w:szCs w:val="22"/>
        </w:rPr>
        <w:t>: As cláusulas acima elencadas são as mínimas necessárias. As peculiaridades da contratação podem recomendar a adoção de outras obrigações.</w:t>
      </w:r>
    </w:p>
    <w:p w14:paraId="0625EE14" w14:textId="77777777" w:rsidR="00353CB0" w:rsidRPr="00C71549" w:rsidRDefault="00353CB0" w:rsidP="001A3041">
      <w:pPr>
        <w:pStyle w:val="Nivel1"/>
        <w:ind w:left="567" w:hanging="567"/>
        <w:rPr>
          <w:sz w:val="22"/>
          <w:szCs w:val="22"/>
        </w:rPr>
      </w:pPr>
      <w:r w:rsidRPr="00C71549">
        <w:rPr>
          <w:sz w:val="22"/>
          <w:szCs w:val="22"/>
        </w:rPr>
        <w:t>DA SUBCONTRATAÇÃO</w:t>
      </w:r>
    </w:p>
    <w:p w14:paraId="782B38D9" w14:textId="77777777" w:rsidR="00353CB0" w:rsidRPr="00C71549" w:rsidRDefault="00353CB0" w:rsidP="00353CB0">
      <w:pPr>
        <w:spacing w:before="120" w:after="120" w:line="276" w:lineRule="auto"/>
        <w:ind w:left="425"/>
        <w:rPr>
          <w:rFonts w:cs="Arial"/>
          <w:i/>
          <w:color w:val="FF0000"/>
          <w:sz w:val="22"/>
        </w:rPr>
      </w:pPr>
      <w:r w:rsidRPr="00C71549">
        <w:rPr>
          <w:rFonts w:cs="Arial"/>
          <w:i/>
          <w:color w:val="FF0000"/>
          <w:sz w:val="22"/>
        </w:rPr>
        <w:t>7.1 Não será admitida a subcontratação do objeto licitatório.</w:t>
      </w:r>
    </w:p>
    <w:p w14:paraId="2D30D6E4" w14:textId="77777777" w:rsidR="00353CB0" w:rsidRPr="00C71549" w:rsidRDefault="00353CB0" w:rsidP="001A3041">
      <w:pPr>
        <w:pStyle w:val="Nivel1"/>
        <w:ind w:left="567" w:hanging="567"/>
        <w:rPr>
          <w:sz w:val="22"/>
          <w:szCs w:val="22"/>
          <w:lang w:eastAsia="en-US"/>
        </w:rPr>
      </w:pPr>
      <w:r w:rsidRPr="00C71549">
        <w:rPr>
          <w:sz w:val="22"/>
          <w:szCs w:val="22"/>
          <w:lang w:eastAsia="en-US"/>
        </w:rPr>
        <w:t>DA ALTERAÇÃO SUBJETIVA</w:t>
      </w:r>
    </w:p>
    <w:p w14:paraId="45B0BE9F" w14:textId="77777777" w:rsidR="00353CB0" w:rsidRPr="00C71549" w:rsidRDefault="00353CB0" w:rsidP="00353CB0">
      <w:pPr>
        <w:numPr>
          <w:ilvl w:val="1"/>
          <w:numId w:val="7"/>
        </w:numPr>
        <w:spacing w:before="120" w:after="120" w:line="276" w:lineRule="auto"/>
        <w:ind w:left="425" w:firstLine="0"/>
        <w:rPr>
          <w:rFonts w:cs="Arial"/>
          <w:color w:val="0000FF"/>
          <w:sz w:val="22"/>
          <w:lang w:eastAsia="en-US"/>
        </w:rPr>
      </w:pPr>
      <w:r w:rsidRPr="00C71549">
        <w:rPr>
          <w:rFonts w:cs="Arial"/>
          <w:sz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88DB2C7" w14:textId="77777777" w:rsidR="00353CB0" w:rsidRPr="00C71549" w:rsidRDefault="00353CB0" w:rsidP="001A3041">
      <w:pPr>
        <w:pStyle w:val="Nivel1"/>
        <w:ind w:left="567" w:hanging="567"/>
        <w:rPr>
          <w:sz w:val="22"/>
          <w:szCs w:val="22"/>
          <w:lang w:eastAsia="en-US"/>
        </w:rPr>
      </w:pPr>
      <w:r w:rsidRPr="00C71549">
        <w:rPr>
          <w:sz w:val="22"/>
          <w:szCs w:val="22"/>
          <w:lang w:eastAsia="en-US"/>
        </w:rPr>
        <w:t xml:space="preserve">DO CONTROLE </w:t>
      </w:r>
      <w:r w:rsidRPr="00C71549">
        <w:rPr>
          <w:color w:val="auto"/>
          <w:sz w:val="22"/>
          <w:szCs w:val="22"/>
          <w:lang w:eastAsia="en-US"/>
        </w:rPr>
        <w:t xml:space="preserve">E FISCALIZAÇÃO DA </w:t>
      </w:r>
      <w:r w:rsidRPr="00C71549">
        <w:rPr>
          <w:sz w:val="22"/>
          <w:szCs w:val="22"/>
          <w:lang w:eastAsia="en-US"/>
        </w:rPr>
        <w:t>EXECUÇÃO</w:t>
      </w:r>
    </w:p>
    <w:p w14:paraId="5F104E0A" w14:textId="77777777" w:rsidR="00353CB0" w:rsidRPr="00C71549" w:rsidRDefault="00353CB0" w:rsidP="00353CB0">
      <w:pPr>
        <w:numPr>
          <w:ilvl w:val="1"/>
          <w:numId w:val="7"/>
        </w:numPr>
        <w:spacing w:before="120" w:after="120" w:line="276" w:lineRule="auto"/>
        <w:ind w:left="425" w:firstLine="0"/>
        <w:rPr>
          <w:rFonts w:cs="Arial"/>
          <w:bCs/>
          <w:sz w:val="22"/>
        </w:rPr>
      </w:pPr>
      <w:r w:rsidRPr="00C71549">
        <w:rPr>
          <w:rFonts w:cs="Arial"/>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F8EB5FE" w14:textId="77777777" w:rsidR="00353CB0" w:rsidRPr="00C71549" w:rsidRDefault="00353CB0" w:rsidP="00353CB0">
      <w:pPr>
        <w:numPr>
          <w:ilvl w:val="2"/>
          <w:numId w:val="7"/>
        </w:numPr>
        <w:spacing w:before="120" w:after="120" w:line="276" w:lineRule="auto"/>
        <w:ind w:left="1134" w:firstLine="0"/>
        <w:rPr>
          <w:rFonts w:cs="Arial"/>
          <w:bCs/>
          <w:color w:val="FF0000"/>
          <w:sz w:val="22"/>
        </w:rPr>
      </w:pPr>
      <w:r w:rsidRPr="00C71549">
        <w:rPr>
          <w:rFonts w:cs="Arial"/>
          <w:color w:val="FF0000"/>
          <w:sz w:val="22"/>
          <w:lang w:eastAsia="en-US"/>
        </w:rPr>
        <w:t>O recebimento de material de valor superior a R$ 176.000,00 (cento e setenta e seis mil reais) será confiado a uma comissão de, no mínimo, 3 (três) membros, designados pela autoridade competente.</w:t>
      </w:r>
    </w:p>
    <w:p w14:paraId="70E89B60" w14:textId="77777777" w:rsidR="00353CB0" w:rsidRPr="00C71549" w:rsidRDefault="00353CB0" w:rsidP="00353CB0">
      <w:pPr>
        <w:numPr>
          <w:ilvl w:val="1"/>
          <w:numId w:val="7"/>
        </w:numPr>
        <w:spacing w:before="120" w:after="120" w:line="276" w:lineRule="auto"/>
        <w:ind w:left="425" w:firstLine="0"/>
        <w:rPr>
          <w:rFonts w:cs="Arial"/>
          <w:sz w:val="22"/>
          <w:lang w:eastAsia="en-US"/>
        </w:rPr>
      </w:pPr>
      <w:r w:rsidRPr="00C71549">
        <w:rPr>
          <w:rFonts w:cs="Arial"/>
          <w:sz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9DA45E" w14:textId="77777777" w:rsidR="00353CB0" w:rsidRPr="00C71549" w:rsidRDefault="00353CB0" w:rsidP="00353CB0">
      <w:pPr>
        <w:numPr>
          <w:ilvl w:val="1"/>
          <w:numId w:val="7"/>
        </w:numPr>
        <w:spacing w:before="120" w:after="120" w:line="276" w:lineRule="auto"/>
        <w:ind w:left="425" w:firstLine="0"/>
        <w:rPr>
          <w:rFonts w:cs="Arial"/>
          <w:sz w:val="22"/>
        </w:rPr>
      </w:pPr>
      <w:r w:rsidRPr="00C71549">
        <w:rPr>
          <w:rFonts w:cs="Arial"/>
          <w:sz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8B7729C" w14:textId="77777777" w:rsidR="00353CB0" w:rsidRPr="00C71549" w:rsidRDefault="00353CB0" w:rsidP="001A3041">
      <w:pPr>
        <w:pStyle w:val="Nivel1"/>
        <w:ind w:left="567" w:hanging="567"/>
        <w:rPr>
          <w:sz w:val="22"/>
          <w:szCs w:val="22"/>
        </w:rPr>
      </w:pPr>
      <w:r w:rsidRPr="00C71549">
        <w:rPr>
          <w:sz w:val="22"/>
          <w:szCs w:val="22"/>
        </w:rPr>
        <w:t>DO PAGAMENTO</w:t>
      </w:r>
    </w:p>
    <w:p w14:paraId="00B47097" w14:textId="77777777" w:rsidR="00353CB0" w:rsidRPr="00C71549" w:rsidRDefault="00353CB0" w:rsidP="00353CB0">
      <w:pPr>
        <w:spacing w:before="120" w:after="120" w:line="276" w:lineRule="auto"/>
        <w:ind w:left="425"/>
        <w:rPr>
          <w:rFonts w:cs="Arial"/>
          <w:sz w:val="22"/>
          <w:lang w:eastAsia="en-US"/>
        </w:rPr>
      </w:pPr>
    </w:p>
    <w:p w14:paraId="255000E3" w14:textId="77777777" w:rsidR="00353CB0" w:rsidRPr="00C71549" w:rsidRDefault="00353CB0" w:rsidP="00353CB0">
      <w:pPr>
        <w:pStyle w:val="PargrafodaLista"/>
        <w:numPr>
          <w:ilvl w:val="1"/>
          <w:numId w:val="7"/>
        </w:numPr>
        <w:spacing w:before="120" w:after="120" w:line="276" w:lineRule="auto"/>
        <w:contextualSpacing w:val="0"/>
        <w:rPr>
          <w:rFonts w:cs="Arial"/>
          <w:sz w:val="22"/>
          <w:lang w:eastAsia="en-US"/>
        </w:rPr>
      </w:pPr>
      <w:r w:rsidRPr="00C71549">
        <w:rPr>
          <w:rFonts w:cs="Arial"/>
          <w:sz w:val="22"/>
          <w:lang w:eastAsia="en-US"/>
        </w:rPr>
        <w:t xml:space="preserve">O pagamento será realizado no prazo máximo de até </w:t>
      </w:r>
      <w:r w:rsidRPr="00C71549">
        <w:rPr>
          <w:rFonts w:ascii="Arial" w:eastAsia="Times New Roman" w:hAnsi="Arial" w:cs="Tahoma"/>
          <w:color w:val="auto"/>
          <w:sz w:val="22"/>
        </w:rPr>
        <w:t xml:space="preserve">30 (trinta) </w:t>
      </w:r>
      <w:r w:rsidRPr="00C71549">
        <w:rPr>
          <w:rFonts w:ascii="Arial" w:eastAsia="Times New Roman" w:hAnsi="Arial" w:cs="Arial"/>
          <w:sz w:val="22"/>
          <w:lang w:eastAsia="en-US"/>
        </w:rPr>
        <w:t xml:space="preserve">dias, contados a partir </w:t>
      </w:r>
      <w:r w:rsidRPr="00C71549">
        <w:rPr>
          <w:rFonts w:ascii="Arial" w:eastAsia="Times New Roman" w:hAnsi="Arial" w:cs="Arial"/>
          <w:sz w:val="22"/>
        </w:rPr>
        <w:t xml:space="preserve">do recebimento da Nota Fiscal ou Fatura, </w:t>
      </w:r>
      <w:r w:rsidRPr="00C71549">
        <w:rPr>
          <w:rFonts w:ascii="Arial" w:eastAsia="Times New Roman" w:hAnsi="Arial" w:cs="Arial"/>
          <w:sz w:val="22"/>
          <w:lang w:eastAsia="en-US"/>
        </w:rPr>
        <w:t>através de ordem bancária, para crédito em banco, agência e conta corrente indicados pelo contratado.</w:t>
      </w:r>
    </w:p>
    <w:p w14:paraId="093EC881" w14:textId="77777777" w:rsidR="00353CB0" w:rsidRPr="00C71549" w:rsidRDefault="00353CB0" w:rsidP="00353CB0">
      <w:pPr>
        <w:pStyle w:val="PargrafodaLista"/>
        <w:numPr>
          <w:ilvl w:val="2"/>
          <w:numId w:val="7"/>
        </w:numPr>
        <w:spacing w:before="120" w:after="120" w:line="276" w:lineRule="auto"/>
        <w:contextualSpacing w:val="0"/>
        <w:rPr>
          <w:rFonts w:cs="Arial"/>
          <w:sz w:val="22"/>
          <w:lang w:eastAsia="en-US"/>
        </w:rPr>
      </w:pPr>
      <w:r w:rsidRPr="00C71549">
        <w:rPr>
          <w:rFonts w:cs="Arial"/>
          <w:sz w:val="22"/>
          <w:lang w:eastAsia="en-US"/>
        </w:rPr>
        <w:t xml:space="preserve">Os pagamentos decorrentes de despesas cujos valores não ultrapassem o limite </w:t>
      </w:r>
      <w:r w:rsidRPr="00C71549">
        <w:rPr>
          <w:rFonts w:cs="Arial"/>
          <w:sz w:val="22"/>
        </w:rPr>
        <w:t>de que trata o inciso II do art. 24</w:t>
      </w:r>
      <w:r w:rsidRPr="00C71549">
        <w:rPr>
          <w:rFonts w:cs="Arial"/>
          <w:sz w:val="22"/>
          <w:lang w:eastAsia="en-US"/>
        </w:rPr>
        <w:t xml:space="preserve"> da Lei 8.666, de 1993, deverão ser efetuados no prazo de até 5 (cinco) dias úteis, contados da data da apresentação da Nota Fiscal, nos termos do art. 5º, § 3º, da Lei nº 8.666, de 1993.</w:t>
      </w:r>
    </w:p>
    <w:p w14:paraId="489EB925" w14:textId="77777777" w:rsidR="00353CB0" w:rsidRPr="00C71549" w:rsidRDefault="00353CB0" w:rsidP="00353CB0">
      <w:pPr>
        <w:pStyle w:val="PargrafodaLista"/>
        <w:numPr>
          <w:ilvl w:val="1"/>
          <w:numId w:val="7"/>
        </w:numPr>
        <w:spacing w:before="120" w:after="120" w:line="276" w:lineRule="auto"/>
        <w:contextualSpacing w:val="0"/>
        <w:rPr>
          <w:rFonts w:cs="Arial"/>
          <w:strike/>
          <w:sz w:val="22"/>
        </w:rPr>
      </w:pPr>
      <w:r w:rsidRPr="00C71549">
        <w:rPr>
          <w:rFonts w:cs="Arial"/>
          <w:sz w:val="22"/>
        </w:rPr>
        <w:lastRenderedPageBreak/>
        <w:t xml:space="preserve">Considera-se ocorrido o recebimento da nota fiscal ou fatura </w:t>
      </w:r>
      <w:proofErr w:type="gramStart"/>
      <w:r w:rsidRPr="00C71549">
        <w:rPr>
          <w:rFonts w:cs="Arial"/>
          <w:sz w:val="22"/>
        </w:rPr>
        <w:t>no momento em que</w:t>
      </w:r>
      <w:proofErr w:type="gramEnd"/>
      <w:r w:rsidRPr="00C71549">
        <w:rPr>
          <w:rFonts w:cs="Arial"/>
          <w:sz w:val="22"/>
        </w:rPr>
        <w:t xml:space="preserve"> o órgão contratante atestar a execução do objeto do contrato.</w:t>
      </w:r>
    </w:p>
    <w:p w14:paraId="0C318C16" w14:textId="77777777" w:rsidR="00353CB0" w:rsidRPr="00C71549" w:rsidRDefault="00353CB0" w:rsidP="00353CB0">
      <w:pPr>
        <w:numPr>
          <w:ilvl w:val="1"/>
          <w:numId w:val="7"/>
        </w:numPr>
        <w:spacing w:before="120" w:after="120" w:line="276" w:lineRule="auto"/>
        <w:rPr>
          <w:sz w:val="22"/>
        </w:rPr>
      </w:pPr>
      <w:r w:rsidRPr="00C71549">
        <w:rPr>
          <w:sz w:val="22"/>
        </w:rPr>
        <w:t xml:space="preserve">A Nota Fiscal ou Fatura deverá ser obrigatoriamente acompanhada da comprovação da regularidade fiscal, constatada por meio de consulta on-line ao SICAF ou, na impossibilidade de acesso </w:t>
      </w:r>
      <w:r w:rsidRPr="00C71549">
        <w:rPr>
          <w:rFonts w:cs="Arial"/>
          <w:sz w:val="22"/>
          <w:lang w:eastAsia="en-US"/>
        </w:rPr>
        <w:t>ao</w:t>
      </w:r>
      <w:r w:rsidRPr="00C71549">
        <w:rPr>
          <w:sz w:val="22"/>
        </w:rPr>
        <w:t xml:space="preserve"> referido Sistema, mediante consulta aos sítios eletrônicos oficiais ou à documentação mencionada no art. 29 da Lei nº 8.666, de 1993. </w:t>
      </w:r>
    </w:p>
    <w:p w14:paraId="63D7D64C" w14:textId="77777777" w:rsidR="00353CB0" w:rsidRPr="00C71549" w:rsidRDefault="00353CB0" w:rsidP="00353CB0">
      <w:pPr>
        <w:numPr>
          <w:ilvl w:val="2"/>
          <w:numId w:val="7"/>
        </w:numPr>
        <w:spacing w:before="120" w:after="120" w:line="276" w:lineRule="auto"/>
        <w:rPr>
          <w:sz w:val="22"/>
        </w:rPr>
      </w:pPr>
      <w:r w:rsidRPr="00C71549">
        <w:rPr>
          <w:sz w:val="22"/>
        </w:rPr>
        <w:t xml:space="preserve">Constatando-se, junto ao SICAF, a situação de irregularidade do fornecedor contratado, deverão ser tomadas as providências previstas no do art. 31 da Instrução </w:t>
      </w:r>
      <w:r w:rsidRPr="00C71549">
        <w:rPr>
          <w:rFonts w:cs="Arial"/>
          <w:sz w:val="22"/>
          <w:lang w:eastAsia="en-US"/>
        </w:rPr>
        <w:t>Normativa</w:t>
      </w:r>
      <w:r w:rsidRPr="00C71549">
        <w:rPr>
          <w:sz w:val="22"/>
        </w:rPr>
        <w:t xml:space="preserve"> nº 3, de 26 de abril de 2018.</w:t>
      </w:r>
    </w:p>
    <w:p w14:paraId="6A450530"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lang w:eastAsia="en-US"/>
        </w:rPr>
      </w:pPr>
      <w:r w:rsidRPr="00C71549">
        <w:rPr>
          <w:rFonts w:cs="Arial"/>
          <w:sz w:val="22"/>
          <w:lang w:eastAsia="en-US"/>
        </w:rPr>
        <w:t xml:space="preserve">Havendo erro na apresentação da Nota Fiscal ou dos documentos pertinentes à contratação, ou, ainda, circunstância que impeça a liquidação da despesa, como, por exemplo, </w:t>
      </w:r>
      <w:r w:rsidRPr="00C71549">
        <w:rPr>
          <w:rFonts w:cs="Arial"/>
          <w:sz w:val="22"/>
        </w:rPr>
        <w:t>obrigação financeira pendente, decorrente de penalidade imposta ou inadimplência,</w:t>
      </w:r>
      <w:r w:rsidRPr="00C71549">
        <w:rPr>
          <w:rFonts w:cs="Arial"/>
          <w:sz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4E4EBA2"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Será considerada data do pagamento o dia em que constar como emitida a ordem bancária para pagamento.</w:t>
      </w:r>
    </w:p>
    <w:p w14:paraId="0D30A6F5"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Antes de cada pagamento à contratada, será realizada consulta ao SICAF para verificar a manutenção das condições de habilitação exigidas no edital. </w:t>
      </w:r>
    </w:p>
    <w:p w14:paraId="1E81B748"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1611A6C"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53F9633"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371EAD5"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Persistindo a irregularidade, a contratante deverá adotar as medidas necessárias à rescisão contratual nos autos do processo administrativo correspondente, assegurada à contratada a ampla defesa. </w:t>
      </w:r>
    </w:p>
    <w:p w14:paraId="244AD216" w14:textId="77777777" w:rsidR="00353CB0" w:rsidRPr="00C71549" w:rsidRDefault="00353CB0" w:rsidP="00353CB0">
      <w:pPr>
        <w:numPr>
          <w:ilvl w:val="1"/>
          <w:numId w:val="7"/>
        </w:numPr>
        <w:spacing w:before="120" w:after="120" w:line="276" w:lineRule="auto"/>
        <w:rPr>
          <w:rFonts w:cs="Arial"/>
          <w:sz w:val="22"/>
          <w:lang w:eastAsia="en-US"/>
        </w:rPr>
      </w:pPr>
      <w:r w:rsidRPr="00C71549">
        <w:rPr>
          <w:rFonts w:cs="Arial"/>
          <w:sz w:val="22"/>
          <w:lang w:eastAsia="en-US"/>
        </w:rPr>
        <w:t xml:space="preserve">Havendo a efetiva execução do objeto, os pagamentos serão realizados normalmente, até que se decida pela rescisão do contrato, caso a contratada não regularize sua situação junto ao SICAF.  </w:t>
      </w:r>
    </w:p>
    <w:p w14:paraId="656A4E43" w14:textId="77777777" w:rsidR="00353CB0" w:rsidRPr="00C71549" w:rsidRDefault="00353CB0" w:rsidP="00353CB0">
      <w:pPr>
        <w:pStyle w:val="PargrafodaLista"/>
        <w:spacing w:before="120" w:after="120" w:line="276" w:lineRule="auto"/>
        <w:ind w:left="716"/>
        <w:contextualSpacing w:val="0"/>
        <w:rPr>
          <w:rFonts w:cs="Arial"/>
          <w:sz w:val="22"/>
        </w:rPr>
      </w:pPr>
      <w:r w:rsidRPr="00C71549">
        <w:rPr>
          <w:rFonts w:cs="Arial"/>
          <w:sz w:val="22"/>
          <w:lang w:eastAsia="en-US"/>
        </w:rPr>
        <w:t>10.11.</w:t>
      </w:r>
      <w:proofErr w:type="gramStart"/>
      <w:r w:rsidRPr="00C71549">
        <w:rPr>
          <w:rFonts w:cs="Arial"/>
          <w:sz w:val="22"/>
          <w:lang w:eastAsia="en-US"/>
        </w:rPr>
        <w:t>1.Será</w:t>
      </w:r>
      <w:proofErr w:type="gramEnd"/>
      <w:r w:rsidRPr="00C71549">
        <w:rPr>
          <w:rFonts w:cs="Arial"/>
          <w:sz w:val="22"/>
          <w:lang w:eastAsia="en-US"/>
        </w:rPr>
        <w:t xml:space="preserve">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A4949FD" w14:textId="77777777" w:rsidR="00353CB0" w:rsidRPr="00C71549" w:rsidRDefault="00353CB0" w:rsidP="00353CB0">
      <w:pPr>
        <w:pStyle w:val="PargrafodaLista"/>
        <w:numPr>
          <w:ilvl w:val="1"/>
          <w:numId w:val="7"/>
        </w:numPr>
        <w:spacing w:before="120" w:after="120" w:line="276" w:lineRule="auto"/>
        <w:contextualSpacing w:val="0"/>
        <w:rPr>
          <w:rFonts w:cs="Arial"/>
          <w:sz w:val="22"/>
        </w:rPr>
      </w:pPr>
      <w:r w:rsidRPr="00C71549">
        <w:rPr>
          <w:rFonts w:cs="Arial"/>
          <w:sz w:val="22"/>
        </w:rPr>
        <w:lastRenderedPageBreak/>
        <w:t>Quando do pagamento, será efetuada a retenção tributária prevista na legislação aplicável.</w:t>
      </w:r>
    </w:p>
    <w:p w14:paraId="28A84D19" w14:textId="77777777" w:rsidR="00353CB0" w:rsidRPr="00C71549" w:rsidRDefault="00353CB0" w:rsidP="00353CB0">
      <w:pPr>
        <w:numPr>
          <w:ilvl w:val="2"/>
          <w:numId w:val="7"/>
        </w:numPr>
        <w:tabs>
          <w:tab w:val="left" w:pos="1440"/>
        </w:tabs>
        <w:autoSpaceDE w:val="0"/>
        <w:snapToGrid w:val="0"/>
        <w:spacing w:before="120" w:after="120" w:line="276" w:lineRule="auto"/>
        <w:ind w:left="1134" w:firstLine="0"/>
        <w:rPr>
          <w:rFonts w:cs="Arial"/>
          <w:sz w:val="22"/>
        </w:rPr>
      </w:pPr>
      <w:r w:rsidRPr="00C71549">
        <w:rPr>
          <w:rFonts w:cs="Arial"/>
          <w:sz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BA277EB" w14:textId="77777777" w:rsidR="00353CB0" w:rsidRPr="00C71549" w:rsidRDefault="00353CB0" w:rsidP="00353CB0">
      <w:pPr>
        <w:spacing w:before="120" w:after="120" w:line="276" w:lineRule="auto"/>
        <w:rPr>
          <w:rFonts w:cs="Arial"/>
          <w:sz w:val="22"/>
        </w:rPr>
      </w:pPr>
      <w:r w:rsidRPr="00C71549">
        <w:rPr>
          <w:rFonts w:cs="Arial"/>
          <w:sz w:val="22"/>
          <w:lang w:eastAsia="en-US"/>
        </w:rPr>
        <w:t xml:space="preserve"> </w:t>
      </w:r>
    </w:p>
    <w:p w14:paraId="02DF6949"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FD6D31C" w14:textId="77777777" w:rsidR="00353CB0" w:rsidRPr="00C71549" w:rsidRDefault="00353CB0" w:rsidP="00353CB0">
      <w:pPr>
        <w:tabs>
          <w:tab w:val="left" w:pos="1701"/>
        </w:tabs>
        <w:spacing w:before="120" w:after="120" w:line="276" w:lineRule="auto"/>
        <w:ind w:left="425"/>
        <w:rPr>
          <w:rFonts w:cs="Arial"/>
          <w:sz w:val="22"/>
        </w:rPr>
      </w:pPr>
      <w:r w:rsidRPr="00C71549">
        <w:rPr>
          <w:rFonts w:cs="Arial"/>
          <w:sz w:val="22"/>
        </w:rPr>
        <w:t>EM = I x N x VP, sendo:</w:t>
      </w:r>
    </w:p>
    <w:p w14:paraId="7F6DBED9" w14:textId="77777777" w:rsidR="00353CB0" w:rsidRPr="00C71549" w:rsidRDefault="00353CB0" w:rsidP="00353CB0">
      <w:pPr>
        <w:tabs>
          <w:tab w:val="left" w:pos="1701"/>
        </w:tabs>
        <w:spacing w:before="120" w:after="120" w:line="276" w:lineRule="auto"/>
        <w:ind w:left="425"/>
        <w:rPr>
          <w:rFonts w:cs="Arial"/>
          <w:snapToGrid w:val="0"/>
          <w:sz w:val="22"/>
        </w:rPr>
      </w:pPr>
      <w:r w:rsidRPr="00C71549">
        <w:rPr>
          <w:rFonts w:cs="Arial"/>
          <w:snapToGrid w:val="0"/>
          <w:sz w:val="22"/>
        </w:rPr>
        <w:t>EM = Encargos moratórios;</w:t>
      </w:r>
    </w:p>
    <w:p w14:paraId="303F8E55" w14:textId="77777777" w:rsidR="00353CB0" w:rsidRPr="00C71549" w:rsidRDefault="00353CB0" w:rsidP="00353CB0">
      <w:pPr>
        <w:tabs>
          <w:tab w:val="left" w:pos="1701"/>
        </w:tabs>
        <w:spacing w:before="120" w:after="120" w:line="276" w:lineRule="auto"/>
        <w:ind w:left="425"/>
        <w:rPr>
          <w:rFonts w:cs="Arial"/>
          <w:sz w:val="22"/>
        </w:rPr>
      </w:pPr>
      <w:r w:rsidRPr="00C71549">
        <w:rPr>
          <w:rFonts w:cs="Arial"/>
          <w:sz w:val="22"/>
        </w:rPr>
        <w:t>N = Número de dias entre a data prevista para o pagamento e a do efetivo pagamento;</w:t>
      </w:r>
    </w:p>
    <w:p w14:paraId="11442454" w14:textId="77777777" w:rsidR="00353CB0" w:rsidRPr="00C71549" w:rsidRDefault="00353CB0" w:rsidP="00353CB0">
      <w:pPr>
        <w:tabs>
          <w:tab w:val="left" w:pos="1701"/>
        </w:tabs>
        <w:spacing w:before="120" w:after="120" w:line="276" w:lineRule="auto"/>
        <w:ind w:left="425"/>
        <w:rPr>
          <w:rFonts w:cs="Arial"/>
          <w:sz w:val="22"/>
        </w:rPr>
      </w:pPr>
      <w:r w:rsidRPr="00C71549">
        <w:rPr>
          <w:rFonts w:cs="Arial"/>
          <w:sz w:val="22"/>
        </w:rPr>
        <w:t>VP = Valor da parcela a ser paga.</w:t>
      </w:r>
    </w:p>
    <w:p w14:paraId="7E326EFF" w14:textId="78EE3180" w:rsidR="00353CB0" w:rsidRPr="00C71549" w:rsidRDefault="00353CB0" w:rsidP="00353CB0">
      <w:pPr>
        <w:tabs>
          <w:tab w:val="left" w:pos="1701"/>
        </w:tabs>
        <w:spacing w:before="120" w:after="120" w:line="276" w:lineRule="auto"/>
        <w:ind w:left="425"/>
        <w:rPr>
          <w:rFonts w:cs="Arial"/>
          <w:sz w:val="22"/>
        </w:rPr>
      </w:pPr>
      <w:r w:rsidRPr="00C71549">
        <w:rPr>
          <w:rFonts w:cs="Arial"/>
          <w:snapToGrid w:val="0"/>
          <w:sz w:val="22"/>
        </w:rPr>
        <w:t xml:space="preserve">I = Índice de compensação financeira = </w:t>
      </w:r>
      <w:r w:rsidRPr="00C71549">
        <w:rPr>
          <w:rFonts w:cs="Arial"/>
          <w:sz w:val="22"/>
        </w:rPr>
        <w:t>0,00016438, assim apurado:</w:t>
      </w:r>
    </w:p>
    <w:tbl>
      <w:tblPr>
        <w:tblStyle w:val="Tabelacomgrade4"/>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1A3041" w:rsidRPr="00C71549" w14:paraId="421B1DDB" w14:textId="77777777" w:rsidTr="00D0324F">
        <w:tc>
          <w:tcPr>
            <w:tcW w:w="2214" w:type="dxa"/>
            <w:vAlign w:val="center"/>
          </w:tcPr>
          <w:p w14:paraId="1E13744C" w14:textId="77777777" w:rsidR="001A3041" w:rsidRPr="00C71549" w:rsidRDefault="001A3041" w:rsidP="001A3041">
            <w:pPr>
              <w:tabs>
                <w:tab w:val="left" w:pos="1701"/>
              </w:tabs>
              <w:spacing w:after="0" w:line="240" w:lineRule="auto"/>
              <w:ind w:left="0" w:firstLine="0"/>
              <w:jc w:val="center"/>
              <w:rPr>
                <w:rFonts w:ascii="Arial" w:eastAsia="MS Mincho" w:hAnsi="Arial" w:cs="Arial"/>
                <w:sz w:val="22"/>
                <w:szCs w:val="22"/>
              </w:rPr>
            </w:pPr>
            <w:r w:rsidRPr="00C71549">
              <w:rPr>
                <w:rFonts w:ascii="Arial" w:eastAsia="MS Mincho" w:hAnsi="Arial" w:cs="Arial"/>
                <w:sz w:val="22"/>
                <w:szCs w:val="22"/>
              </w:rPr>
              <w:t>I = (TX)</w:t>
            </w:r>
          </w:p>
        </w:tc>
        <w:tc>
          <w:tcPr>
            <w:tcW w:w="588" w:type="dxa"/>
            <w:vAlign w:val="center"/>
          </w:tcPr>
          <w:p w14:paraId="6B6154B5" w14:textId="77777777" w:rsidR="001A3041" w:rsidRPr="00C71549" w:rsidRDefault="001A3041" w:rsidP="001A3041">
            <w:pPr>
              <w:tabs>
                <w:tab w:val="left" w:pos="1701"/>
              </w:tabs>
              <w:spacing w:after="0" w:line="240" w:lineRule="auto"/>
              <w:ind w:left="0" w:firstLine="0"/>
              <w:jc w:val="left"/>
              <w:rPr>
                <w:rFonts w:ascii="Arial" w:eastAsia="MS Mincho" w:hAnsi="Arial" w:cs="Arial"/>
                <w:sz w:val="22"/>
                <w:szCs w:val="22"/>
              </w:rPr>
            </w:pPr>
            <w:r w:rsidRPr="00C71549">
              <w:rPr>
                <w:rFonts w:ascii="Arial" w:eastAsia="MS Mincho" w:hAnsi="Arial" w:cs="Arial"/>
                <w:sz w:val="22"/>
                <w:szCs w:val="22"/>
              </w:rPr>
              <w:t xml:space="preserve">I = </w:t>
            </w:r>
          </w:p>
        </w:tc>
        <w:tc>
          <w:tcPr>
            <w:tcW w:w="1276" w:type="dxa"/>
            <w:tcBorders>
              <w:bottom w:val="single" w:sz="4" w:space="0" w:color="auto"/>
            </w:tcBorders>
          </w:tcPr>
          <w:p w14:paraId="0FFBA070" w14:textId="77777777" w:rsidR="001A3041" w:rsidRPr="00C71549" w:rsidRDefault="001A3041" w:rsidP="001A3041">
            <w:pPr>
              <w:tabs>
                <w:tab w:val="left" w:pos="1701"/>
              </w:tabs>
              <w:spacing w:after="0" w:line="240" w:lineRule="auto"/>
              <w:ind w:left="0" w:firstLine="0"/>
              <w:jc w:val="center"/>
              <w:rPr>
                <w:rFonts w:ascii="Arial" w:eastAsia="MS Mincho" w:hAnsi="Arial" w:cs="Arial"/>
                <w:sz w:val="22"/>
                <w:szCs w:val="22"/>
              </w:rPr>
            </w:pPr>
            <w:proofErr w:type="gramStart"/>
            <w:r w:rsidRPr="00C71549">
              <w:rPr>
                <w:rFonts w:ascii="Arial" w:eastAsia="MS Mincho" w:hAnsi="Arial" w:cs="Arial"/>
                <w:sz w:val="22"/>
                <w:szCs w:val="22"/>
              </w:rPr>
              <w:t>( 6</w:t>
            </w:r>
            <w:proofErr w:type="gramEnd"/>
            <w:r w:rsidRPr="00C71549">
              <w:rPr>
                <w:rFonts w:ascii="Arial" w:eastAsia="MS Mincho" w:hAnsi="Arial" w:cs="Arial"/>
                <w:sz w:val="22"/>
                <w:szCs w:val="22"/>
              </w:rPr>
              <w:t xml:space="preserve"> / 100 )</w:t>
            </w:r>
          </w:p>
        </w:tc>
        <w:tc>
          <w:tcPr>
            <w:tcW w:w="4784" w:type="dxa"/>
            <w:vAlign w:val="center"/>
          </w:tcPr>
          <w:p w14:paraId="4346A5C1" w14:textId="77777777" w:rsidR="001A3041" w:rsidRPr="00C71549" w:rsidRDefault="001A3041" w:rsidP="001A3041">
            <w:pPr>
              <w:tabs>
                <w:tab w:val="left" w:pos="1701"/>
              </w:tabs>
              <w:spacing w:after="0" w:line="240" w:lineRule="auto"/>
              <w:ind w:left="742" w:firstLine="0"/>
              <w:jc w:val="left"/>
              <w:rPr>
                <w:rFonts w:ascii="Arial" w:eastAsia="MS Mincho" w:hAnsi="Arial" w:cs="Arial"/>
                <w:sz w:val="22"/>
                <w:szCs w:val="22"/>
              </w:rPr>
            </w:pPr>
            <w:r w:rsidRPr="00C71549">
              <w:rPr>
                <w:rFonts w:ascii="Arial" w:eastAsia="MS Mincho" w:hAnsi="Arial" w:cs="Arial"/>
                <w:sz w:val="22"/>
                <w:szCs w:val="22"/>
              </w:rPr>
              <w:t>I = 0,00016438</w:t>
            </w:r>
          </w:p>
          <w:p w14:paraId="0851B861" w14:textId="77777777" w:rsidR="001A3041" w:rsidRPr="00C71549" w:rsidRDefault="001A3041" w:rsidP="001A3041">
            <w:pPr>
              <w:tabs>
                <w:tab w:val="left" w:pos="1701"/>
              </w:tabs>
              <w:spacing w:after="0" w:line="240" w:lineRule="auto"/>
              <w:ind w:left="742" w:firstLine="0"/>
              <w:jc w:val="left"/>
              <w:rPr>
                <w:rFonts w:ascii="Arial" w:eastAsia="MS Mincho" w:hAnsi="Arial" w:cs="Arial"/>
                <w:sz w:val="22"/>
                <w:szCs w:val="22"/>
              </w:rPr>
            </w:pPr>
            <w:r w:rsidRPr="00C71549">
              <w:rPr>
                <w:rFonts w:ascii="Arial" w:eastAsia="MS Mincho" w:hAnsi="Arial" w:cs="Arial"/>
                <w:sz w:val="22"/>
                <w:szCs w:val="22"/>
              </w:rPr>
              <w:t>TX = Percentual da taxa anual = 6%</w:t>
            </w:r>
          </w:p>
        </w:tc>
      </w:tr>
    </w:tbl>
    <w:p w14:paraId="3B936F28" w14:textId="629CD7C0" w:rsidR="00353CB0" w:rsidRPr="00C71549" w:rsidRDefault="00353CB0" w:rsidP="00353CB0">
      <w:pPr>
        <w:rPr>
          <w:sz w:val="22"/>
        </w:rPr>
      </w:pPr>
      <w:r w:rsidRPr="00C71549">
        <w:rPr>
          <w:sz w:val="22"/>
        </w:rPr>
        <w:t xml:space="preserve">                                                  365</w:t>
      </w:r>
    </w:p>
    <w:p w14:paraId="221C1FE9" w14:textId="77777777" w:rsidR="00353CB0" w:rsidRPr="00C71549" w:rsidRDefault="00353CB0" w:rsidP="00353CB0">
      <w:pPr>
        <w:rPr>
          <w:sz w:val="22"/>
        </w:rPr>
      </w:pPr>
    </w:p>
    <w:p w14:paraId="2C00E0F9" w14:textId="77777777" w:rsidR="00353CB0" w:rsidRPr="00C71549" w:rsidRDefault="00353CB0" w:rsidP="001A3041">
      <w:pPr>
        <w:pStyle w:val="Nivel1"/>
        <w:ind w:left="567" w:hanging="567"/>
        <w:rPr>
          <w:sz w:val="22"/>
          <w:szCs w:val="22"/>
        </w:rPr>
      </w:pPr>
      <w:r w:rsidRPr="00C71549">
        <w:rPr>
          <w:sz w:val="22"/>
          <w:szCs w:val="22"/>
        </w:rPr>
        <w:t xml:space="preserve">DO REAJUSTE </w:t>
      </w:r>
    </w:p>
    <w:p w14:paraId="38C37431" w14:textId="77777777" w:rsidR="00353CB0" w:rsidRPr="00C71549" w:rsidRDefault="00353CB0" w:rsidP="00353CB0">
      <w:pPr>
        <w:rPr>
          <w:sz w:val="22"/>
        </w:rPr>
      </w:pPr>
    </w:p>
    <w:p w14:paraId="3D4D5D6F" w14:textId="77777777" w:rsidR="00353CB0" w:rsidRPr="00C71549" w:rsidRDefault="00353CB0" w:rsidP="00353CB0">
      <w:pPr>
        <w:pStyle w:val="Citao"/>
        <w:rPr>
          <w:rFonts w:cs="Arial"/>
          <w:color w:val="auto"/>
          <w:sz w:val="22"/>
          <w:szCs w:val="22"/>
          <w:lang w:eastAsia="pt-BR"/>
        </w:rPr>
      </w:pPr>
      <w:r w:rsidRPr="00C71549">
        <w:rPr>
          <w:rFonts w:cs="Arial"/>
          <w:b/>
          <w:color w:val="auto"/>
          <w:sz w:val="22"/>
          <w:szCs w:val="22"/>
          <w:lang w:eastAsia="pt-BR"/>
        </w:rPr>
        <w:t>Nota Explicativa:</w:t>
      </w:r>
      <w:r w:rsidRPr="00C71549">
        <w:rPr>
          <w:rFonts w:cs="Arial"/>
          <w:color w:val="auto"/>
          <w:sz w:val="22"/>
          <w:szCs w:val="22"/>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C71549">
        <w:rPr>
          <w:rFonts w:cs="Arial"/>
          <w:color w:val="auto"/>
          <w:sz w:val="22"/>
          <w:szCs w:val="22"/>
          <w:lang w:eastAsia="pt-BR"/>
        </w:rPr>
        <w:t>Nardes</w:t>
      </w:r>
      <w:proofErr w:type="spellEnd"/>
      <w:r w:rsidRPr="00C71549">
        <w:rPr>
          <w:rFonts w:cs="Arial"/>
          <w:color w:val="auto"/>
          <w:sz w:val="22"/>
          <w:szCs w:val="22"/>
          <w:lang w:eastAsia="pt-BR"/>
        </w:rPr>
        <w:t>, Data da sessão: 07/08/2018), ratificou o entendimento da Corte acerca do assunto, invocando, para tanto, o Acórdão nº 2205/2016-TCU-Plenário, no qual restou assim assentado:</w:t>
      </w:r>
    </w:p>
    <w:p w14:paraId="5C0638CC" w14:textId="77777777" w:rsidR="00353CB0" w:rsidRPr="00C71549" w:rsidRDefault="00353CB0" w:rsidP="00353CB0">
      <w:pPr>
        <w:pStyle w:val="Citao"/>
        <w:rPr>
          <w:rFonts w:cs="Arial"/>
          <w:color w:val="auto"/>
          <w:sz w:val="22"/>
          <w:szCs w:val="22"/>
          <w:lang w:eastAsia="pt-BR"/>
        </w:rPr>
      </w:pPr>
      <w:r w:rsidRPr="00C71549">
        <w:rPr>
          <w:rFonts w:cs="Arial"/>
          <w:color w:val="auto"/>
          <w:sz w:val="22"/>
          <w:szCs w:val="22"/>
          <w:lang w:eastAsia="pt-BR"/>
        </w:rPr>
        <w:t> </w:t>
      </w:r>
    </w:p>
    <w:p w14:paraId="75BDE344" w14:textId="77777777" w:rsidR="00353CB0" w:rsidRPr="00C71549" w:rsidRDefault="00353CB0" w:rsidP="00353CB0">
      <w:pPr>
        <w:pStyle w:val="Citao"/>
        <w:rPr>
          <w:rFonts w:cs="Arial"/>
          <w:color w:val="auto"/>
          <w:sz w:val="22"/>
          <w:szCs w:val="22"/>
          <w:lang w:eastAsia="pt-BR"/>
        </w:rPr>
      </w:pPr>
      <w:r w:rsidRPr="00C71549">
        <w:rPr>
          <w:rFonts w:cs="Arial"/>
          <w:color w:val="auto"/>
          <w:sz w:val="22"/>
          <w:szCs w:val="22"/>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w:t>
      </w:r>
      <w:r w:rsidRPr="00C71549">
        <w:rPr>
          <w:rFonts w:cs="Arial"/>
          <w:color w:val="auto"/>
          <w:sz w:val="22"/>
          <w:szCs w:val="22"/>
          <w:lang w:eastAsia="pt-BR"/>
        </w:rPr>
        <w:lastRenderedPageBreak/>
        <w:t>2715/2008-Plenário, entre outros)". (Acórdão nº 2205/2016-TCU-Plenário, Relatora: Min. Ana Arraes, Data da sessão: 24/08/2016)</w:t>
      </w:r>
    </w:p>
    <w:p w14:paraId="10C49CE5" w14:textId="77777777" w:rsidR="00353CB0" w:rsidRPr="00C71549" w:rsidRDefault="00353CB0" w:rsidP="00353CB0">
      <w:pPr>
        <w:rPr>
          <w:sz w:val="22"/>
        </w:rPr>
      </w:pPr>
    </w:p>
    <w:p w14:paraId="61C3B3F6" w14:textId="77777777" w:rsidR="00353CB0" w:rsidRPr="00C71549" w:rsidRDefault="00353CB0" w:rsidP="00353CB0">
      <w:pPr>
        <w:rPr>
          <w:sz w:val="22"/>
        </w:rPr>
      </w:pPr>
    </w:p>
    <w:p w14:paraId="2BDBDC1B"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Os preços são fixos e irreajustáveis no prazo de um ano contado da data limite para a apresentação das propostas.</w:t>
      </w:r>
    </w:p>
    <w:p w14:paraId="2C97B554" w14:textId="77777777" w:rsidR="00353CB0" w:rsidRPr="00C71549" w:rsidRDefault="00353CB0" w:rsidP="00353CB0">
      <w:pPr>
        <w:pStyle w:val="PargrafodaLista"/>
        <w:numPr>
          <w:ilvl w:val="2"/>
          <w:numId w:val="7"/>
        </w:numPr>
        <w:spacing w:before="120" w:after="120" w:line="276" w:lineRule="auto"/>
        <w:ind w:left="1134" w:firstLine="0"/>
        <w:contextualSpacing w:val="0"/>
        <w:rPr>
          <w:rFonts w:cs="Arial"/>
          <w:sz w:val="22"/>
        </w:rPr>
      </w:pPr>
      <w:r w:rsidRPr="00C71549">
        <w:rPr>
          <w:rFonts w:cs="Arial"/>
          <w:sz w:val="22"/>
        </w:rPr>
        <w:t xml:space="preserve">Dentro </w:t>
      </w:r>
      <w:r w:rsidRPr="00C71549">
        <w:rPr>
          <w:rFonts w:ascii="Arial" w:eastAsia="Times New Roman" w:hAnsi="Arial" w:cs="Arial"/>
          <w:color w:val="auto"/>
          <w:sz w:val="22"/>
        </w:rPr>
        <w:t xml:space="preserve">do prazo de vigência do contrato e mediante solicitação da contratada, os preços contratados poderão sofrer reajuste após o interregno de um ano, aplicando-se o índice </w:t>
      </w:r>
      <w:r w:rsidRPr="00C71549">
        <w:rPr>
          <w:rFonts w:ascii="Arial" w:eastAsia="Times New Roman" w:hAnsi="Arial" w:cs="Arial"/>
          <w:color w:val="FF0000"/>
          <w:sz w:val="22"/>
        </w:rPr>
        <w:t xml:space="preserve">setorial de melhor correspondência pleiteado pela contratada ou </w:t>
      </w:r>
      <w:r w:rsidRPr="00C71549">
        <w:rPr>
          <w:rFonts w:ascii="Arial" w:eastAsia="Times New Roman" w:hAnsi="Arial" w:cs="Arial"/>
          <w:color w:val="auto"/>
          <w:sz w:val="22"/>
        </w:rPr>
        <w:t>ser adotado o reajustamento pelo IPCA/IBGE, adotando o índice mais conservador, exclusivamente para as obrigações iniciadas e concluídas após a ocorrência da anualidade</w:t>
      </w:r>
      <w:r w:rsidRPr="00C71549">
        <w:rPr>
          <w:rFonts w:ascii="Arial" w:eastAsia="Times New Roman" w:hAnsi="Arial" w:cs="Arial"/>
          <w:sz w:val="22"/>
        </w:rPr>
        <w:t>.</w:t>
      </w:r>
    </w:p>
    <w:p w14:paraId="53140FDC" w14:textId="77777777" w:rsidR="00353CB0" w:rsidRPr="00C71549" w:rsidRDefault="00353CB0" w:rsidP="00353CB0">
      <w:pPr>
        <w:pStyle w:val="Citao"/>
        <w:rPr>
          <w:rFonts w:cs="Arial"/>
          <w:color w:val="auto"/>
          <w:sz w:val="22"/>
          <w:szCs w:val="22"/>
          <w:lang w:eastAsia="pt-BR"/>
        </w:rPr>
      </w:pPr>
      <w:r w:rsidRPr="00C71549">
        <w:rPr>
          <w:rFonts w:cs="Arial"/>
          <w:b/>
          <w:sz w:val="22"/>
          <w:szCs w:val="22"/>
        </w:rPr>
        <w:t>Nota explicativa</w:t>
      </w:r>
      <w:r w:rsidRPr="00C71549">
        <w:rPr>
          <w:rFonts w:cs="Arial"/>
          <w:sz w:val="22"/>
          <w:szCs w:val="22"/>
        </w:rPr>
        <w:t xml:space="preserve">: </w:t>
      </w:r>
      <w:r w:rsidRPr="00C71549">
        <w:rPr>
          <w:rFonts w:cs="Ecofont_Spranq_eco_Sans"/>
          <w:color w:val="auto"/>
          <w:sz w:val="22"/>
          <w:szCs w:val="22"/>
          <w:lang w:eastAsia="pt-BR"/>
        </w:rPr>
        <w:t xml:space="preserve">A Administração deverá atentar para que o índice utilizado seja o indicador mais próximo da efetiva variação dos preços dos bens a serem fornecidos, </w:t>
      </w:r>
      <w:r w:rsidRPr="00C71549">
        <w:rPr>
          <w:rFonts w:cs="Arial"/>
          <w:color w:val="auto"/>
          <w:sz w:val="22"/>
          <w:szCs w:val="22"/>
          <w:lang w:eastAsia="pt-BR"/>
        </w:rPr>
        <w:t>valendo-se, pois, em regra, da adoção de índices setoriais ou específicos. “Caso inexistam índices setoriais ou específicos,</w:t>
      </w:r>
      <w:r w:rsidRPr="00C71549">
        <w:rPr>
          <w:rFonts w:cs="Ecofont_Spranq_eco_Sans"/>
          <w:color w:val="auto"/>
          <w:sz w:val="22"/>
          <w:szCs w:val="22"/>
          <w:lang w:eastAsia="pt-BR"/>
        </w:rPr>
        <w:t xml:space="preserve"> deverá ser </w:t>
      </w:r>
      <w:r w:rsidRPr="00C71549">
        <w:rPr>
          <w:rFonts w:cs="Arial"/>
          <w:color w:val="auto"/>
          <w:sz w:val="22"/>
          <w:szCs w:val="22"/>
          <w:lang w:eastAsia="pt-BR"/>
        </w:rPr>
        <w:t xml:space="preserve">adotado o </w:t>
      </w:r>
      <w:r w:rsidRPr="00C71549">
        <w:rPr>
          <w:rFonts w:cs="Ecofont_Spranq_eco_Sans"/>
          <w:color w:val="auto"/>
          <w:sz w:val="22"/>
          <w:szCs w:val="22"/>
          <w:lang w:eastAsia="pt-BR"/>
        </w:rPr>
        <w:t>índice geral</w:t>
      </w:r>
      <w:r w:rsidRPr="00C71549">
        <w:rPr>
          <w:rFonts w:cs="Arial"/>
          <w:color w:val="auto"/>
          <w:sz w:val="22"/>
          <w:szCs w:val="22"/>
          <w:lang w:eastAsia="pt-BR"/>
        </w:rPr>
        <w:t xml:space="preserve"> de preços que melhor esteja correlacionado com os custos do objeto contratual ou, ainda, em caráter subsidiário, verificar se existe, no mercado, algum índice geral de adoção consagrada para </w:t>
      </w:r>
      <w:r w:rsidRPr="00C71549">
        <w:rPr>
          <w:rFonts w:cs="Ecofont_Spranq_eco_Sans"/>
          <w:color w:val="auto"/>
          <w:sz w:val="22"/>
          <w:szCs w:val="22"/>
          <w:lang w:eastAsia="pt-BR"/>
        </w:rPr>
        <w:t xml:space="preserve">o </w:t>
      </w:r>
      <w:r w:rsidRPr="00C71549">
        <w:rPr>
          <w:rFonts w:cs="Arial"/>
          <w:color w:val="auto"/>
          <w:sz w:val="22"/>
          <w:szCs w:val="22"/>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Pr="00C71549">
        <w:rPr>
          <w:rFonts w:cs="Ecofont_Spranq_eco_Sans"/>
          <w:color w:val="auto"/>
          <w:sz w:val="22"/>
          <w:szCs w:val="22"/>
          <w:lang w:eastAsia="pt-BR"/>
        </w:rPr>
        <w:t xml:space="preserve">deverá </w:t>
      </w:r>
      <w:r w:rsidRPr="00C71549">
        <w:rPr>
          <w:color w:val="auto"/>
          <w:sz w:val="22"/>
          <w:szCs w:val="22"/>
        </w:rPr>
        <w:t>j</w:t>
      </w:r>
      <w:r w:rsidRPr="00C71549">
        <w:rPr>
          <w:rFonts w:cs="Arial"/>
          <w:color w:val="auto"/>
          <w:sz w:val="22"/>
          <w:szCs w:val="22"/>
          <w:lang w:eastAsia="pt-BR"/>
        </w:rPr>
        <w:t>ustificar sua escolha tecnicamente. A Administração poderá, ainda, se valer de índices diferenciados, de forma justificada, de acordo com as peculiaridades envolvidas no objeto contratual”. (Parecer n.º 04</w:t>
      </w:r>
      <w:r w:rsidRPr="00C71549">
        <w:rPr>
          <w:rFonts w:cs="Ecofont_Spranq_eco_Sans"/>
          <w:color w:val="auto"/>
          <w:sz w:val="22"/>
          <w:szCs w:val="22"/>
          <w:lang w:eastAsia="pt-BR"/>
        </w:rPr>
        <w:t>/2013</w:t>
      </w:r>
      <w:r w:rsidRPr="00C71549">
        <w:rPr>
          <w:rFonts w:cs="Arial"/>
          <w:color w:val="auto"/>
          <w:sz w:val="22"/>
          <w:szCs w:val="22"/>
          <w:lang w:eastAsia="pt-BR"/>
        </w:rPr>
        <w:t>/CPLC/DEPCONSU/PGF/AGU, NUP: 00407.001847/2013-61).</w:t>
      </w:r>
    </w:p>
    <w:p w14:paraId="43B15B8A" w14:textId="77777777" w:rsidR="00353CB0" w:rsidRPr="00C71549" w:rsidRDefault="00353CB0" w:rsidP="00353CB0">
      <w:pPr>
        <w:rPr>
          <w:sz w:val="22"/>
        </w:rPr>
      </w:pPr>
    </w:p>
    <w:p w14:paraId="06119733"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
          <w:i/>
          <w:iCs/>
          <w:sz w:val="22"/>
          <w:lang w:eastAsia="en-US"/>
        </w:rPr>
      </w:pPr>
      <w:r w:rsidRPr="00C71549">
        <w:rPr>
          <w:rFonts w:ascii="Arial" w:hAnsi="Arial" w:cs="Arial"/>
          <w:b/>
          <w:i/>
          <w:iCs/>
          <w:sz w:val="22"/>
          <w:lang w:eastAsia="en-US"/>
        </w:rPr>
        <w:t>SUGESTÃO DE ÍNDICES:</w:t>
      </w:r>
    </w:p>
    <w:p w14:paraId="6BE23FBD"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Cs/>
          <w:i/>
          <w:iCs/>
          <w:color w:val="auto"/>
          <w:sz w:val="22"/>
          <w:lang w:eastAsia="en-US"/>
        </w:rPr>
      </w:pPr>
      <w:r w:rsidRPr="00C71549">
        <w:rPr>
          <w:rFonts w:ascii="Arial" w:hAnsi="Arial" w:cs="Arial"/>
          <w:bCs/>
          <w:i/>
          <w:iCs/>
          <w:color w:val="auto"/>
          <w:sz w:val="22"/>
          <w:lang w:eastAsia="en-US"/>
        </w:rPr>
        <w:t>IGP-M - Aluguéis</w:t>
      </w:r>
    </w:p>
    <w:p w14:paraId="61B4290C"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Cs/>
          <w:i/>
          <w:iCs/>
          <w:color w:val="auto"/>
          <w:sz w:val="22"/>
          <w:lang w:eastAsia="en-US"/>
        </w:rPr>
      </w:pPr>
      <w:r w:rsidRPr="00C71549">
        <w:rPr>
          <w:rFonts w:ascii="Arial" w:hAnsi="Arial" w:cs="Arial"/>
          <w:bCs/>
          <w:i/>
          <w:iCs/>
          <w:color w:val="auto"/>
          <w:sz w:val="22"/>
          <w:lang w:eastAsia="en-US"/>
        </w:rPr>
        <w:t>IPCA – Serviços e Demais contratações</w:t>
      </w:r>
    </w:p>
    <w:p w14:paraId="5797A712" w14:textId="77777777" w:rsidR="00353CB0" w:rsidRPr="00C71549"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rPr>
          <w:rFonts w:ascii="Arial" w:hAnsi="Arial" w:cs="Arial"/>
          <w:bCs/>
          <w:i/>
          <w:iCs/>
          <w:color w:val="auto"/>
          <w:sz w:val="22"/>
          <w:lang w:eastAsia="en-US"/>
        </w:rPr>
      </w:pPr>
      <w:r w:rsidRPr="00C71549">
        <w:rPr>
          <w:rFonts w:ascii="Arial" w:hAnsi="Arial" w:cs="Arial"/>
          <w:bCs/>
          <w:i/>
          <w:iCs/>
          <w:color w:val="auto"/>
          <w:sz w:val="22"/>
          <w:lang w:eastAsia="en-US"/>
        </w:rPr>
        <w:t>INCC - Reajuste de contratos da construção civil.</w:t>
      </w:r>
    </w:p>
    <w:p w14:paraId="6FF14516" w14:textId="77777777" w:rsidR="00353CB0" w:rsidRPr="00C71549" w:rsidRDefault="00353CB0" w:rsidP="00353CB0">
      <w:pPr>
        <w:rPr>
          <w:sz w:val="22"/>
        </w:rPr>
      </w:pPr>
    </w:p>
    <w:p w14:paraId="15F45E3F" w14:textId="77777777" w:rsidR="00353CB0" w:rsidRPr="00C71549" w:rsidRDefault="00353CB0" w:rsidP="00353CB0">
      <w:pPr>
        <w:rPr>
          <w:sz w:val="22"/>
        </w:rPr>
      </w:pPr>
    </w:p>
    <w:p w14:paraId="5AD05719"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Nos reajustes subsequentes ao primeiro, o interregno mínimo de um ano será contado a partir dos efeitos financeiros do último reajuste.</w:t>
      </w:r>
    </w:p>
    <w:p w14:paraId="05AA4D7A"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16AEA4E"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Nas aferições finais, o índice utilizado para reajuste será, obrigatoriamente, o definitivo.</w:t>
      </w:r>
    </w:p>
    <w:p w14:paraId="2DAB99E3"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Caso o índice estabelecido para reajustamento venha a ser extinto ou de qualquer forma não possa mais ser utilizado, será adotado, em substituição, o que vier a ser determinado pela legislação então em vigor.</w:t>
      </w:r>
    </w:p>
    <w:p w14:paraId="2B3B7481" w14:textId="77777777" w:rsidR="00353CB0" w:rsidRPr="00C71549" w:rsidRDefault="00353CB0" w:rsidP="00353CB0">
      <w:pPr>
        <w:pStyle w:val="PargrafodaLista"/>
        <w:numPr>
          <w:ilvl w:val="1"/>
          <w:numId w:val="7"/>
        </w:numPr>
        <w:spacing w:before="120" w:after="120" w:line="276" w:lineRule="auto"/>
        <w:ind w:left="425" w:firstLine="0"/>
        <w:contextualSpacing w:val="0"/>
        <w:rPr>
          <w:rFonts w:cs="Arial"/>
          <w:sz w:val="22"/>
        </w:rPr>
      </w:pPr>
      <w:r w:rsidRPr="00C71549">
        <w:rPr>
          <w:rFonts w:cs="Arial"/>
          <w:sz w:val="22"/>
        </w:rPr>
        <w:t xml:space="preserve">Na ausência de previsão legal quanto ao índice substituto, as partes elegerão novo índice oficial, para reajustamento do preço do valor remanescente, por meio de termo aditivo. </w:t>
      </w:r>
    </w:p>
    <w:p w14:paraId="22F146F1" w14:textId="77777777" w:rsidR="00353CB0" w:rsidRPr="00C71549" w:rsidRDefault="00353CB0" w:rsidP="00353CB0">
      <w:pPr>
        <w:pStyle w:val="PargrafodaLista"/>
        <w:numPr>
          <w:ilvl w:val="1"/>
          <w:numId w:val="7"/>
        </w:numPr>
        <w:spacing w:after="120" w:line="276" w:lineRule="auto"/>
        <w:ind w:left="425" w:firstLine="0"/>
        <w:contextualSpacing w:val="0"/>
        <w:rPr>
          <w:rFonts w:cs="Arial"/>
          <w:sz w:val="22"/>
        </w:rPr>
      </w:pPr>
      <w:r w:rsidRPr="00C71549">
        <w:rPr>
          <w:rFonts w:cs="Arial"/>
          <w:sz w:val="22"/>
        </w:rPr>
        <w:lastRenderedPageBreak/>
        <w:t>O reajuste será realizado por apostilamento.</w:t>
      </w:r>
    </w:p>
    <w:p w14:paraId="1D3B495E" w14:textId="77777777" w:rsidR="00353CB0" w:rsidRPr="00C71549" w:rsidRDefault="00353CB0" w:rsidP="00353CB0">
      <w:pPr>
        <w:spacing w:after="120" w:line="276" w:lineRule="auto"/>
        <w:ind w:left="425"/>
        <w:rPr>
          <w:rFonts w:cs="Arial"/>
          <w:sz w:val="22"/>
        </w:rPr>
      </w:pPr>
    </w:p>
    <w:p w14:paraId="067A6F5F" w14:textId="77777777" w:rsidR="00353CB0" w:rsidRPr="00C71549" w:rsidRDefault="00353CB0" w:rsidP="001A3041">
      <w:pPr>
        <w:pStyle w:val="Nivel1"/>
        <w:ind w:left="567" w:hanging="567"/>
        <w:rPr>
          <w:sz w:val="22"/>
          <w:szCs w:val="22"/>
        </w:rPr>
      </w:pPr>
      <w:r w:rsidRPr="00C71549">
        <w:rPr>
          <w:sz w:val="22"/>
          <w:szCs w:val="22"/>
        </w:rPr>
        <w:t>DA GARANTIA DE EXECUÇÃO</w:t>
      </w:r>
    </w:p>
    <w:p w14:paraId="220F4949" w14:textId="77777777" w:rsidR="00353CB0" w:rsidRPr="00C71549" w:rsidRDefault="00353CB0" w:rsidP="00353CB0">
      <w:pPr>
        <w:numPr>
          <w:ilvl w:val="1"/>
          <w:numId w:val="7"/>
        </w:numPr>
        <w:spacing w:before="120" w:after="120" w:line="276" w:lineRule="auto"/>
        <w:jc w:val="left"/>
        <w:rPr>
          <w:rFonts w:ascii="Arial" w:eastAsia="Times New Roman" w:hAnsi="Arial" w:cs="Arial"/>
          <w:i/>
          <w:color w:val="FF0000"/>
          <w:sz w:val="22"/>
        </w:rPr>
      </w:pPr>
      <w:r w:rsidRPr="00C71549">
        <w:rPr>
          <w:rFonts w:ascii="Arial" w:eastAsia="Times New Roman" w:hAnsi="Arial" w:cs="Arial"/>
          <w:i/>
          <w:color w:val="FF0000"/>
          <w:sz w:val="22"/>
        </w:rPr>
        <w:t>Não haverá exigência de garantia contratual da execução, pelas razões abaixo justificadas:</w:t>
      </w:r>
    </w:p>
    <w:p w14:paraId="3F7B2AB8" w14:textId="77777777" w:rsidR="00353CB0" w:rsidRPr="00C71549" w:rsidRDefault="00353CB0" w:rsidP="00353CB0">
      <w:pPr>
        <w:numPr>
          <w:ilvl w:val="2"/>
          <w:numId w:val="7"/>
        </w:numPr>
        <w:spacing w:before="120" w:after="0" w:line="276" w:lineRule="auto"/>
        <w:jc w:val="left"/>
        <w:rPr>
          <w:rFonts w:ascii="Arial" w:eastAsia="Times New Roman" w:hAnsi="Arial" w:cs="Arial"/>
          <w:bCs/>
          <w:i/>
          <w:iCs/>
          <w:color w:val="FF0000"/>
          <w:sz w:val="22"/>
        </w:rPr>
      </w:pPr>
      <w:r w:rsidRPr="00C71549">
        <w:rPr>
          <w:rFonts w:ascii="Arial" w:eastAsia="Times New Roman" w:hAnsi="Arial" w:cs="Arial"/>
          <w:i/>
          <w:color w:val="FF0000"/>
          <w:sz w:val="22"/>
        </w:rPr>
        <w:t>Não haverá exigência de garantia contratual da execução por serem bens de pronta entrega com quantitativos apenas estimados para um período fixo. Além disso, entende-se que as sanções administrativas estipuladas são suficientes para coibir possíveis descumprimentos contratuais por parte da contratada.</w:t>
      </w:r>
    </w:p>
    <w:p w14:paraId="7322AD55" w14:textId="77777777" w:rsidR="00353CB0" w:rsidRPr="00C71549" w:rsidRDefault="00353CB0" w:rsidP="00353CB0">
      <w:pPr>
        <w:pStyle w:val="Nivel1"/>
        <w:ind w:left="357" w:hanging="357"/>
        <w:rPr>
          <w:sz w:val="22"/>
          <w:szCs w:val="22"/>
        </w:rPr>
      </w:pPr>
      <w:r w:rsidRPr="00C71549">
        <w:rPr>
          <w:sz w:val="22"/>
          <w:szCs w:val="22"/>
        </w:rPr>
        <w:t>DAS SANÇÕES ADMINISTRATIVAS</w:t>
      </w:r>
    </w:p>
    <w:p w14:paraId="14608394"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color w:val="auto"/>
          <w:sz w:val="22"/>
        </w:rPr>
      </w:pPr>
      <w:r w:rsidRPr="00C71549">
        <w:rPr>
          <w:rFonts w:ascii="Arial" w:eastAsia="Times New Roman" w:hAnsi="Arial" w:cs="Arial"/>
          <w:color w:val="auto"/>
          <w:sz w:val="22"/>
        </w:rPr>
        <w:t>Comete infração administrativa nos termos da Lei nº 10.520, de 2002, a Contratada que:</w:t>
      </w:r>
    </w:p>
    <w:p w14:paraId="55A4753E"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proofErr w:type="spellStart"/>
      <w:r w:rsidRPr="00C71549">
        <w:rPr>
          <w:rFonts w:ascii="Arial" w:eastAsia="Times New Roman" w:hAnsi="Arial" w:cs="Arial"/>
          <w:color w:val="auto"/>
          <w:sz w:val="22"/>
        </w:rPr>
        <w:t>inexecutar</w:t>
      </w:r>
      <w:proofErr w:type="spellEnd"/>
      <w:r w:rsidRPr="00C71549">
        <w:rPr>
          <w:rFonts w:ascii="Arial" w:eastAsia="Times New Roman" w:hAnsi="Arial" w:cs="Arial"/>
          <w:color w:val="auto"/>
          <w:sz w:val="22"/>
        </w:rPr>
        <w:t xml:space="preserve"> total ou parcialmente qualquer das obrigações assumidas em decorrência da contratação;</w:t>
      </w:r>
    </w:p>
    <w:p w14:paraId="2132B95F"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ensejar o retardamento da execução do objeto;</w:t>
      </w:r>
    </w:p>
    <w:p w14:paraId="31FE2FEE"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falhar ou fraudar na execução do contrato;</w:t>
      </w:r>
    </w:p>
    <w:p w14:paraId="7F817CB2"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comportar-se de modo inidôneo;</w:t>
      </w:r>
    </w:p>
    <w:p w14:paraId="2599C48F"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cometer fraude fiscal;</w:t>
      </w:r>
    </w:p>
    <w:p w14:paraId="17165A39" w14:textId="77777777" w:rsidR="00353CB0" w:rsidRPr="00C71549" w:rsidRDefault="00353CB0" w:rsidP="00353CB0">
      <w:pPr>
        <w:numPr>
          <w:ilvl w:val="1"/>
          <w:numId w:val="7"/>
        </w:numPr>
        <w:spacing w:before="120" w:after="120" w:line="276" w:lineRule="auto"/>
        <w:ind w:right="-30"/>
        <w:contextualSpacing/>
        <w:jc w:val="left"/>
        <w:rPr>
          <w:rFonts w:ascii="Arial" w:eastAsia="Times New Roman" w:hAnsi="Arial" w:cs="Arial"/>
          <w:color w:val="auto"/>
          <w:sz w:val="22"/>
        </w:rPr>
      </w:pPr>
      <w:r w:rsidRPr="00C71549">
        <w:rPr>
          <w:rFonts w:ascii="Arial" w:eastAsia="Times New Roman" w:hAnsi="Arial" w:cs="Arial"/>
          <w:color w:val="auto"/>
          <w:sz w:val="22"/>
        </w:rPr>
        <w:t xml:space="preserve">Pela inexecução </w:t>
      </w:r>
      <w:r w:rsidRPr="00C71549">
        <w:rPr>
          <w:rFonts w:ascii="Arial" w:eastAsia="Times New Roman" w:hAnsi="Arial" w:cs="Arial"/>
          <w:color w:val="auto"/>
          <w:sz w:val="22"/>
          <w:u w:val="single"/>
        </w:rPr>
        <w:t>total ou parcial</w:t>
      </w:r>
      <w:r w:rsidRPr="00C71549">
        <w:rPr>
          <w:rFonts w:ascii="Arial" w:eastAsia="Times New Roman" w:hAnsi="Arial" w:cs="Arial"/>
          <w:color w:val="auto"/>
          <w:sz w:val="22"/>
        </w:rPr>
        <w:t xml:space="preserve"> do objeto deste contrato, a Administração pode aplicar à CONTRATADA as seguintes sanções:</w:t>
      </w:r>
    </w:p>
    <w:p w14:paraId="4F8FFFFE"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proofErr w:type="gramStart"/>
      <w:r w:rsidRPr="00C71549">
        <w:rPr>
          <w:rFonts w:ascii="Arial" w:eastAsia="Times New Roman" w:hAnsi="Arial" w:cs="Arial"/>
          <w:color w:val="auto"/>
          <w:sz w:val="22"/>
        </w:rPr>
        <w:t>Advertência,  por</w:t>
      </w:r>
      <w:proofErr w:type="gramEnd"/>
      <w:r w:rsidRPr="00C71549">
        <w:rPr>
          <w:rFonts w:ascii="Arial" w:eastAsia="Times New Roman" w:hAnsi="Arial" w:cs="Arial"/>
          <w:color w:val="auto"/>
          <w:sz w:val="22"/>
        </w:rPr>
        <w:t xml:space="preserve"> faltas leves, assim entendidas aquelas que não acarretem prejuízos significativos para a Contratante;</w:t>
      </w:r>
    </w:p>
    <w:p w14:paraId="625C9175" w14:textId="77777777" w:rsidR="00353CB0" w:rsidRPr="00C71549" w:rsidRDefault="00353CB0" w:rsidP="00353CB0">
      <w:pPr>
        <w:numPr>
          <w:ilvl w:val="2"/>
          <w:numId w:val="7"/>
        </w:numPr>
        <w:spacing w:before="120" w:after="120" w:line="276" w:lineRule="auto"/>
        <w:jc w:val="left"/>
        <w:rPr>
          <w:rFonts w:ascii="Arial" w:eastAsia="Times New Roman" w:hAnsi="Arial" w:cs="Arial"/>
          <w:color w:val="auto"/>
          <w:sz w:val="22"/>
        </w:rPr>
      </w:pPr>
      <w:r w:rsidRPr="00C71549">
        <w:rPr>
          <w:rFonts w:ascii="Arial" w:eastAsia="Times New Roman" w:hAnsi="Arial" w:cs="Arial"/>
          <w:color w:val="auto"/>
          <w:sz w:val="22"/>
        </w:rPr>
        <w:t>multa moratória de 0,8% (quatro por cento) por dia de atraso injustificado sobre o valor da parcela inadimplida, até o limite de 15 (quinze) dias;</w:t>
      </w:r>
    </w:p>
    <w:p w14:paraId="14451BB6" w14:textId="77777777" w:rsidR="00353CB0" w:rsidRPr="00C71549" w:rsidRDefault="00353CB0" w:rsidP="00353CB0">
      <w:pPr>
        <w:numPr>
          <w:ilvl w:val="3"/>
          <w:numId w:val="7"/>
        </w:numPr>
        <w:spacing w:before="120" w:after="120" w:line="276" w:lineRule="auto"/>
        <w:jc w:val="left"/>
        <w:rPr>
          <w:rFonts w:ascii="Arial" w:eastAsia="Times New Roman" w:hAnsi="Arial" w:cs="Arial"/>
          <w:color w:val="auto"/>
          <w:sz w:val="22"/>
        </w:rPr>
      </w:pPr>
      <w:r w:rsidRPr="00C71549">
        <w:rPr>
          <w:rFonts w:ascii="Arial" w:eastAsia="Times New Roman" w:hAnsi="Arial" w:cs="Arial"/>
          <w:color w:val="auto"/>
          <w:sz w:val="22"/>
        </w:rPr>
        <w:t>Após 15 dias de atraso, poderá ser declarada a inexecução total do contrato ou ser concedido no máximo mais 15 (quinze) dias para regularização, mantendo-se a multa moratória no subitem 13.2.2 durante este período.</w:t>
      </w:r>
    </w:p>
    <w:p w14:paraId="3A44BF4D"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multa compensatória de 10% (dez por cento) sobre o valor total do contrato, no caso de inexecução total do objeto;</w:t>
      </w:r>
    </w:p>
    <w:p w14:paraId="7A6BD0EC"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em caso de inexecução parcial, a multa compensatória, no mesmo percentual do subitem acima, será aplicada de forma proporcional à obrigação inadimplida;</w:t>
      </w:r>
    </w:p>
    <w:p w14:paraId="153AF9C7"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b/>
          <w:i/>
          <w:color w:val="7030A0"/>
          <w:sz w:val="22"/>
          <w:u w:val="single"/>
        </w:rPr>
      </w:pPr>
      <w:r w:rsidRPr="00C71549">
        <w:rPr>
          <w:rFonts w:ascii="Arial" w:eastAsia="Times New Roman" w:hAnsi="Arial" w:cs="Arial"/>
          <w:color w:val="auto"/>
          <w:sz w:val="22"/>
        </w:rPr>
        <w:t xml:space="preserve">suspensão de licitar e impedimento de contratar com o órgão, entidade ou unidade administrativa pela qual a Administração Pública opera e atua concretamente, pelo prazo de até dois anos; </w:t>
      </w:r>
    </w:p>
    <w:p w14:paraId="128D0D81"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lastRenderedPageBreak/>
        <w:t>impedimento de licitar e contratar com órgãos e entidades da União com o consequente descredenciamento no SICAF pelo prazo de até cinco anos;</w:t>
      </w:r>
    </w:p>
    <w:p w14:paraId="484BC8E8" w14:textId="77777777" w:rsidR="00353CB0" w:rsidRPr="00C71549" w:rsidRDefault="00353CB0" w:rsidP="00353CB0">
      <w:pPr>
        <w:numPr>
          <w:ilvl w:val="3"/>
          <w:numId w:val="7"/>
        </w:numPr>
        <w:spacing w:before="120" w:after="120" w:line="276" w:lineRule="auto"/>
        <w:ind w:right="-30"/>
        <w:jc w:val="left"/>
        <w:rPr>
          <w:rFonts w:ascii="Arial" w:eastAsia="Times New Roman" w:hAnsi="Arial" w:cs="Arial"/>
          <w:color w:val="auto"/>
          <w:sz w:val="22"/>
        </w:rPr>
      </w:pPr>
      <w:r w:rsidRPr="00C71549">
        <w:rPr>
          <w:rFonts w:ascii="Arial" w:eastAsia="Times New Roman" w:hAnsi="Arial" w:cs="Arial"/>
          <w:color w:val="auto"/>
          <w:sz w:val="22"/>
        </w:rPr>
        <w:t>A Sanção de impedimento de licitar e contratar prevista neste subitem também é aplicável em quaisquer das hipóteses previstas como infração administrativa no subitem 14.1 deste Termo de Referência.</w:t>
      </w:r>
    </w:p>
    <w:p w14:paraId="1E674B38"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BD5C23" w14:textId="77777777" w:rsidR="00353CB0" w:rsidRPr="00C71549" w:rsidRDefault="00353CB0" w:rsidP="00353CB0">
      <w:pPr>
        <w:numPr>
          <w:ilvl w:val="1"/>
          <w:numId w:val="7"/>
        </w:numPr>
        <w:spacing w:before="120" w:after="120" w:line="276" w:lineRule="auto"/>
        <w:ind w:right="-30"/>
        <w:jc w:val="left"/>
        <w:rPr>
          <w:rFonts w:ascii="Arial" w:eastAsia="Times New Roman" w:hAnsi="Arial" w:cs="Arial"/>
          <w:color w:val="auto"/>
          <w:sz w:val="22"/>
        </w:rPr>
      </w:pPr>
      <w:r w:rsidRPr="00C71549">
        <w:rPr>
          <w:rFonts w:ascii="Arial" w:eastAsia="Times New Roman" w:hAnsi="Arial" w:cs="Arial"/>
          <w:color w:val="auto"/>
          <w:sz w:val="22"/>
        </w:rPr>
        <w:t>As sanções previstas nos subitens 14.2.1, 14.2.5, 14.2.6 e 14.2.7 poderão ser aplicadas à CONTRATADA juntamente com as de multa, descontando-a dos pagamentos a serem efetuados.</w:t>
      </w:r>
    </w:p>
    <w:p w14:paraId="2A849EC8"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color w:val="auto"/>
          <w:sz w:val="22"/>
        </w:rPr>
      </w:pPr>
      <w:r w:rsidRPr="00C71549">
        <w:rPr>
          <w:rFonts w:ascii="Arial" w:eastAsia="Times New Roman" w:hAnsi="Arial" w:cs="Arial"/>
          <w:color w:val="auto"/>
          <w:sz w:val="22"/>
        </w:rPr>
        <w:t>Também ficam sujeitas às penalidades do art. 87, III e IV da Lei nº 8.666, de 1993, as empresas ou profissionais que:</w:t>
      </w:r>
    </w:p>
    <w:p w14:paraId="3CCC2012"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tenham sofrido condenação definitiva por praticar, por meio dolosos, fraude fiscal no recolhimento de quaisquer tributos;</w:t>
      </w:r>
    </w:p>
    <w:p w14:paraId="7DF71BF7" w14:textId="77777777" w:rsidR="00353CB0" w:rsidRPr="00C71549" w:rsidRDefault="00353CB0" w:rsidP="00353CB0">
      <w:pPr>
        <w:numPr>
          <w:ilvl w:val="2"/>
          <w:numId w:val="7"/>
        </w:numPr>
        <w:spacing w:before="120" w:after="120" w:line="276" w:lineRule="auto"/>
        <w:ind w:left="1134" w:firstLine="0"/>
        <w:jc w:val="left"/>
        <w:rPr>
          <w:rFonts w:ascii="Arial" w:eastAsia="Times New Roman" w:hAnsi="Arial" w:cs="Arial"/>
          <w:color w:val="auto"/>
          <w:sz w:val="22"/>
        </w:rPr>
      </w:pPr>
      <w:r w:rsidRPr="00C71549">
        <w:rPr>
          <w:rFonts w:ascii="Arial" w:eastAsia="Times New Roman" w:hAnsi="Arial" w:cs="Arial"/>
          <w:color w:val="auto"/>
          <w:sz w:val="22"/>
        </w:rPr>
        <w:t>tenham praticado atos ilícitos visando a frustrar os objetivos da licitação;</w:t>
      </w:r>
    </w:p>
    <w:p w14:paraId="0BF8D33C" w14:textId="77777777" w:rsidR="00353CB0" w:rsidRPr="00C71549" w:rsidRDefault="00353CB0" w:rsidP="00353CB0">
      <w:pPr>
        <w:numPr>
          <w:ilvl w:val="2"/>
          <w:numId w:val="7"/>
        </w:numPr>
        <w:spacing w:before="240" w:after="120" w:line="276" w:lineRule="auto"/>
        <w:ind w:left="1134" w:right="-17" w:hanging="283"/>
        <w:jc w:val="left"/>
        <w:rPr>
          <w:rFonts w:ascii="Arial" w:eastAsia="Times New Roman" w:hAnsi="Arial" w:cs="Arial"/>
          <w:color w:val="auto"/>
          <w:sz w:val="22"/>
        </w:rPr>
      </w:pPr>
      <w:r w:rsidRPr="00C71549">
        <w:rPr>
          <w:rFonts w:ascii="Arial" w:eastAsia="Times New Roman" w:hAnsi="Arial" w:cs="Arial"/>
          <w:color w:val="auto"/>
          <w:sz w:val="22"/>
        </w:rPr>
        <w:t>demonstrem não possuir idoneidade para contratar com a Administração em virtude de atos ilícitos praticados.</w:t>
      </w:r>
    </w:p>
    <w:p w14:paraId="63CC6C0D"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color w:val="auto"/>
          <w:sz w:val="22"/>
        </w:rPr>
      </w:pPr>
      <w:r w:rsidRPr="00C71549">
        <w:rPr>
          <w:rFonts w:ascii="Arial" w:eastAsia="Times New Roman" w:hAnsi="Arial" w:cs="Arial"/>
          <w:color w:val="auto"/>
          <w:sz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45A24F6" w14:textId="77777777" w:rsidR="00353CB0" w:rsidRPr="00C71549" w:rsidRDefault="00353CB0" w:rsidP="00353CB0">
      <w:pPr>
        <w:numPr>
          <w:ilvl w:val="1"/>
          <w:numId w:val="7"/>
        </w:numPr>
        <w:spacing w:before="120" w:after="120" w:line="276" w:lineRule="auto"/>
        <w:ind w:right="-30"/>
        <w:jc w:val="left"/>
        <w:rPr>
          <w:rFonts w:ascii="Arial" w:eastAsia="Times New Roman" w:hAnsi="Arial" w:cs="Tahoma"/>
          <w:color w:val="auto"/>
          <w:sz w:val="22"/>
        </w:rPr>
      </w:pPr>
      <w:r w:rsidRPr="00C71549">
        <w:rPr>
          <w:rFonts w:ascii="Arial" w:eastAsia="Times New Roman" w:hAnsi="Arial" w:cs="Tahoma"/>
          <w:color w:val="auto"/>
          <w:sz w:val="22"/>
        </w:rPr>
        <w:t>As multas devidas e/ou prejuízos causados à Contratante serão deduzidos dos valores a serem pagos, ou recolhidos em favor do CAU/RO, ou deduzidos da garantia, ou ainda, quando for o caso, serão inscritos na Dívida Ativa da União e cobrados judicialmente.</w:t>
      </w:r>
    </w:p>
    <w:p w14:paraId="0148BCF9" w14:textId="77777777" w:rsidR="00353CB0" w:rsidRPr="00C71549" w:rsidRDefault="00353CB0" w:rsidP="00353CB0">
      <w:pPr>
        <w:numPr>
          <w:ilvl w:val="2"/>
          <w:numId w:val="7"/>
        </w:numPr>
        <w:spacing w:before="120" w:after="120" w:line="276" w:lineRule="auto"/>
        <w:ind w:right="-30"/>
        <w:jc w:val="left"/>
        <w:rPr>
          <w:rFonts w:ascii="Arial" w:eastAsia="Times New Roman" w:hAnsi="Arial" w:cs="Tahoma"/>
          <w:color w:val="auto"/>
          <w:sz w:val="22"/>
        </w:rPr>
      </w:pPr>
      <w:r w:rsidRPr="00C71549">
        <w:rPr>
          <w:rFonts w:ascii="Arial" w:eastAsia="Times New Roman" w:hAnsi="Arial" w:cs="Tahoma"/>
          <w:color w:val="auto"/>
          <w:sz w:val="22"/>
        </w:rPr>
        <w:t>Caso a Contratante determine, a multa deverá ser recolhida no prazo máximo de 15 (quinze) dias, a contar da data do recebimento da comunicação enviada pela autoridade competente.</w:t>
      </w:r>
    </w:p>
    <w:p w14:paraId="5E865A7F" w14:textId="77777777" w:rsidR="00353CB0" w:rsidRPr="00C71549" w:rsidRDefault="00353CB0" w:rsidP="00353CB0">
      <w:pPr>
        <w:numPr>
          <w:ilvl w:val="1"/>
          <w:numId w:val="7"/>
        </w:numPr>
        <w:spacing w:before="120" w:after="120" w:line="276" w:lineRule="auto"/>
        <w:ind w:right="-30"/>
        <w:jc w:val="left"/>
        <w:rPr>
          <w:rFonts w:ascii="Arial" w:eastAsia="Times New Roman" w:hAnsi="Arial" w:cs="Arial"/>
          <w:color w:val="auto"/>
          <w:sz w:val="22"/>
        </w:rPr>
      </w:pPr>
      <w:r w:rsidRPr="00C71549">
        <w:rPr>
          <w:rFonts w:ascii="Arial" w:eastAsia="Times New Roman" w:hAnsi="Arial" w:cs="Arial"/>
          <w:color w:val="auto"/>
          <w:sz w:val="22"/>
        </w:rPr>
        <w:t>Caso o valor da multa não seja suficiente para cobrir os prejuízos causados pela conduta do licitante, a União ou Entidade poderá cobrar o valor remanescente judicialmente, conforme artigo 419 do Código Civil.</w:t>
      </w:r>
    </w:p>
    <w:p w14:paraId="634AA343" w14:textId="77777777" w:rsidR="00353CB0" w:rsidRPr="00C71549" w:rsidRDefault="00353CB0" w:rsidP="00353CB0">
      <w:pPr>
        <w:numPr>
          <w:ilvl w:val="1"/>
          <w:numId w:val="7"/>
        </w:numPr>
        <w:spacing w:before="120" w:after="120" w:line="276" w:lineRule="auto"/>
        <w:ind w:right="-30"/>
        <w:jc w:val="left"/>
        <w:rPr>
          <w:rFonts w:ascii="Arial" w:eastAsia="Times New Roman" w:hAnsi="Arial" w:cs="Tahoma"/>
          <w:color w:val="auto"/>
          <w:sz w:val="22"/>
        </w:rPr>
      </w:pPr>
      <w:r w:rsidRPr="00C71549">
        <w:rPr>
          <w:rFonts w:ascii="Arial" w:eastAsia="Times New Roman" w:hAnsi="Arial" w:cs="Tahoma"/>
          <w:color w:val="auto"/>
          <w:sz w:val="22"/>
        </w:rPr>
        <w:t>A autoridade competente, na aplicação das sanções, levará em consideração a gravidade da conduta do infrator, o caráter educativo da pena, bem como o dano causado à Administração, observado o princípio da proporcionalidade.</w:t>
      </w:r>
    </w:p>
    <w:p w14:paraId="41662093" w14:textId="77777777" w:rsidR="00353CB0" w:rsidRPr="00C71549" w:rsidRDefault="00353CB0" w:rsidP="00353CB0">
      <w:pPr>
        <w:numPr>
          <w:ilvl w:val="1"/>
          <w:numId w:val="7"/>
        </w:numPr>
        <w:spacing w:before="120" w:after="120" w:line="276" w:lineRule="auto"/>
        <w:jc w:val="left"/>
        <w:rPr>
          <w:rFonts w:ascii="Arial" w:eastAsia="Arial Unicode MS" w:hAnsi="Arial" w:cs="Arial"/>
          <w:color w:val="auto"/>
          <w:sz w:val="22"/>
        </w:rPr>
      </w:pPr>
      <w:r w:rsidRPr="00C71549">
        <w:rPr>
          <w:rFonts w:ascii="Arial" w:eastAsia="Arial Unicode MS" w:hAnsi="Arial" w:cs="Arial"/>
          <w:color w:val="auto"/>
          <w:sz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w:t>
      </w:r>
      <w:r w:rsidRPr="00C71549">
        <w:rPr>
          <w:rFonts w:ascii="Arial" w:eastAsia="Arial Unicode MS" w:hAnsi="Arial" w:cs="Arial"/>
          <w:color w:val="auto"/>
          <w:sz w:val="22"/>
        </w:rPr>
        <w:lastRenderedPageBreak/>
        <w:t xml:space="preserve">eventual instauração de investigação preliminar ou Processo Administrativo de Responsabilização - PAR. </w:t>
      </w:r>
    </w:p>
    <w:p w14:paraId="05FC7C13" w14:textId="77777777" w:rsidR="00353CB0" w:rsidRPr="00C71549" w:rsidRDefault="00353CB0" w:rsidP="00353CB0">
      <w:pPr>
        <w:numPr>
          <w:ilvl w:val="1"/>
          <w:numId w:val="7"/>
        </w:numPr>
        <w:spacing w:before="120" w:after="120" w:line="276" w:lineRule="auto"/>
        <w:jc w:val="left"/>
        <w:rPr>
          <w:rFonts w:ascii="Arial" w:eastAsia="Arial Unicode MS" w:hAnsi="Arial" w:cs="Arial"/>
          <w:color w:val="auto"/>
          <w:sz w:val="22"/>
        </w:rPr>
      </w:pPr>
      <w:r w:rsidRPr="00C71549">
        <w:rPr>
          <w:rFonts w:ascii="Arial" w:eastAsia="Arial Unicode MS" w:hAnsi="Arial" w:cs="Arial"/>
          <w:color w:val="auto"/>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230A21E" w14:textId="77777777" w:rsidR="00353CB0" w:rsidRPr="00C71549" w:rsidRDefault="00353CB0" w:rsidP="00353CB0">
      <w:pPr>
        <w:numPr>
          <w:ilvl w:val="1"/>
          <w:numId w:val="7"/>
        </w:numPr>
        <w:spacing w:before="120" w:after="120" w:line="276" w:lineRule="auto"/>
        <w:jc w:val="left"/>
        <w:rPr>
          <w:rFonts w:ascii="Arial" w:eastAsia="Arial Unicode MS" w:hAnsi="Arial" w:cs="Arial"/>
          <w:color w:val="auto"/>
          <w:sz w:val="22"/>
        </w:rPr>
      </w:pPr>
      <w:r w:rsidRPr="00C71549">
        <w:rPr>
          <w:rFonts w:ascii="Arial" w:eastAsia="Arial Unicode MS" w:hAnsi="Arial" w:cs="Arial"/>
          <w:color w:val="auto"/>
          <w:sz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EC84219" w14:textId="77777777" w:rsidR="00353CB0" w:rsidRPr="00C71549" w:rsidRDefault="00353CB0" w:rsidP="00353CB0">
      <w:pPr>
        <w:numPr>
          <w:ilvl w:val="1"/>
          <w:numId w:val="7"/>
        </w:numPr>
        <w:spacing w:before="120" w:after="120" w:line="276" w:lineRule="auto"/>
        <w:ind w:left="425" w:firstLine="0"/>
        <w:jc w:val="left"/>
        <w:rPr>
          <w:rFonts w:ascii="Arial" w:eastAsia="Times New Roman" w:hAnsi="Arial" w:cs="Arial"/>
          <w:i/>
          <w:color w:val="auto"/>
          <w:sz w:val="22"/>
        </w:rPr>
      </w:pPr>
      <w:r w:rsidRPr="00C71549">
        <w:rPr>
          <w:rFonts w:ascii="Arial" w:eastAsia="Times New Roman" w:hAnsi="Arial" w:cs="Arial"/>
          <w:color w:val="auto"/>
          <w:sz w:val="22"/>
        </w:rPr>
        <w:t>As penalidades serão obrigatoriamente registradas no SICAF.</w:t>
      </w:r>
    </w:p>
    <w:p w14:paraId="439C93D2" w14:textId="77777777" w:rsidR="00353CB0" w:rsidRPr="00C71549" w:rsidRDefault="00353CB0" w:rsidP="00353CB0">
      <w:pPr>
        <w:pStyle w:val="Nivel1"/>
        <w:numPr>
          <w:ilvl w:val="0"/>
          <w:numId w:val="0"/>
        </w:numPr>
        <w:spacing w:before="120"/>
        <w:ind w:left="357" w:right="-30"/>
        <w:rPr>
          <w:bCs/>
          <w:sz w:val="22"/>
          <w:szCs w:val="22"/>
        </w:rPr>
      </w:pPr>
    </w:p>
    <w:p w14:paraId="68DFB7DA" w14:textId="77777777" w:rsidR="00353CB0" w:rsidRPr="00C71549" w:rsidRDefault="00353CB0" w:rsidP="00A11791">
      <w:pPr>
        <w:pStyle w:val="Nivel1"/>
        <w:ind w:left="567" w:hanging="567"/>
        <w:outlineLvl w:val="9"/>
        <w:rPr>
          <w:b w:val="0"/>
          <w:bCs/>
          <w:color w:val="FF0000"/>
          <w:sz w:val="22"/>
          <w:szCs w:val="22"/>
        </w:rPr>
      </w:pPr>
      <w:r w:rsidRPr="00C71549">
        <w:rPr>
          <w:bCs/>
          <w:sz w:val="22"/>
          <w:szCs w:val="22"/>
        </w:rPr>
        <w:t xml:space="preserve">ESTIMATIVA DE </w:t>
      </w:r>
      <w:r w:rsidRPr="00C71549">
        <w:rPr>
          <w:sz w:val="22"/>
          <w:szCs w:val="22"/>
        </w:rPr>
        <w:t>PREÇOS</w:t>
      </w:r>
      <w:r w:rsidRPr="00C71549">
        <w:rPr>
          <w:bCs/>
          <w:sz w:val="22"/>
          <w:szCs w:val="22"/>
        </w:rPr>
        <w:t xml:space="preserve"> E PREÇOS REFERENCIAIS.</w:t>
      </w:r>
    </w:p>
    <w:p w14:paraId="699D1ADB" w14:textId="77777777" w:rsidR="00353CB0" w:rsidRPr="00C71549" w:rsidRDefault="00353CB0" w:rsidP="00353CB0">
      <w:pPr>
        <w:keepNext/>
        <w:keepLines/>
        <w:numPr>
          <w:ilvl w:val="1"/>
          <w:numId w:val="7"/>
        </w:numPr>
        <w:spacing w:before="120" w:after="120" w:line="276" w:lineRule="auto"/>
        <w:ind w:right="-30"/>
        <w:jc w:val="left"/>
        <w:outlineLvl w:val="0"/>
        <w:rPr>
          <w:rFonts w:ascii="Arial" w:eastAsia="MS Gothic" w:hAnsi="Arial" w:cs="Arial"/>
          <w:b/>
          <w:iCs/>
          <w:sz w:val="22"/>
        </w:rPr>
      </w:pPr>
      <w:bookmarkStart w:id="3" w:name="_Toc43538437"/>
      <w:bookmarkStart w:id="4" w:name="_Toc43538882"/>
      <w:r w:rsidRPr="00C71549">
        <w:rPr>
          <w:rFonts w:ascii="Arial" w:eastAsia="MS Gothic" w:hAnsi="Arial" w:cs="Arial"/>
          <w:iCs/>
          <w:sz w:val="22"/>
        </w:rPr>
        <w:t>O valor unitário máximo aceitável para a contratação é o que consta na tabela do item 1 do objeto deste termo de referência, tendo sido levantado mediante pesquisa de mercado.</w:t>
      </w:r>
      <w:bookmarkEnd w:id="3"/>
      <w:bookmarkEnd w:id="4"/>
    </w:p>
    <w:p w14:paraId="4B1C3CA4" w14:textId="77777777" w:rsidR="00353CB0" w:rsidRPr="00C71549" w:rsidRDefault="00353CB0" w:rsidP="001A3041">
      <w:pPr>
        <w:pStyle w:val="Nivel1"/>
        <w:ind w:left="567" w:hanging="567"/>
        <w:rPr>
          <w:bCs/>
          <w:sz w:val="22"/>
          <w:szCs w:val="22"/>
        </w:rPr>
      </w:pPr>
      <w:r w:rsidRPr="00C71549">
        <w:rPr>
          <w:sz w:val="22"/>
          <w:szCs w:val="22"/>
        </w:rPr>
        <w:t>DOS RECURSOS ORÇAMENTÁRIOS.</w:t>
      </w:r>
    </w:p>
    <w:p w14:paraId="154F4DCD" w14:textId="77777777" w:rsidR="00353CB0" w:rsidRPr="00C71549" w:rsidRDefault="00353CB0" w:rsidP="00353CB0">
      <w:pPr>
        <w:pStyle w:val="PargrafodaLista"/>
        <w:numPr>
          <w:ilvl w:val="1"/>
          <w:numId w:val="7"/>
        </w:numPr>
        <w:spacing w:before="120" w:after="120" w:line="276" w:lineRule="auto"/>
        <w:ind w:right="-30"/>
        <w:rPr>
          <w:b/>
          <w:bCs/>
          <w:sz w:val="22"/>
        </w:rPr>
      </w:pPr>
      <w:r w:rsidRPr="00C71549">
        <w:rPr>
          <w:sz w:val="22"/>
        </w:rPr>
        <w:t xml:space="preserve">(Indicar a </w:t>
      </w:r>
      <w:r w:rsidRPr="00C71549">
        <w:rPr>
          <w:bCs/>
          <w:sz w:val="22"/>
        </w:rPr>
        <w:t>dotação</w:t>
      </w:r>
      <w:r w:rsidRPr="00C71549">
        <w:rPr>
          <w:sz w:val="22"/>
        </w:rPr>
        <w:t xml:space="preserve"> orçamentária da contratação, exceto se for SRP.)</w:t>
      </w:r>
    </w:p>
    <w:p w14:paraId="1E686C5E" w14:textId="77777777" w:rsidR="00353CB0" w:rsidRPr="00C71549" w:rsidRDefault="00353CB0" w:rsidP="001A3041">
      <w:pPr>
        <w:pStyle w:val="Nivel1"/>
        <w:ind w:left="567" w:hanging="567"/>
        <w:rPr>
          <w:rFonts w:eastAsia="Times New Roman"/>
          <w:b w:val="0"/>
          <w:bCs/>
          <w:color w:val="auto"/>
          <w:sz w:val="22"/>
          <w:szCs w:val="22"/>
        </w:rPr>
      </w:pPr>
      <w:r w:rsidRPr="00C71549">
        <w:rPr>
          <w:rFonts w:eastAsia="Times New Roman"/>
          <w:bCs/>
          <w:color w:val="auto"/>
          <w:sz w:val="22"/>
          <w:szCs w:val="22"/>
        </w:rPr>
        <w:t>CRITÉRIOS DE SELEÇÃO DO FORNECEDOR.</w:t>
      </w:r>
    </w:p>
    <w:p w14:paraId="2712232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Arial"/>
          <w:color w:val="auto"/>
          <w:sz w:val="22"/>
        </w:rPr>
      </w:pPr>
      <w:bookmarkStart w:id="5" w:name="_Hlk42033903"/>
      <w:r w:rsidRPr="00C71549">
        <w:rPr>
          <w:rFonts w:ascii="Arial" w:eastAsia="Times New Roman" w:hAnsi="Arial" w:cs="Arial"/>
          <w:color w:val="auto"/>
          <w:sz w:val="22"/>
        </w:rPr>
        <w:t>As exigências de habilitação</w:t>
      </w:r>
      <w:bookmarkEnd w:id="5"/>
      <w:r w:rsidRPr="00C71549">
        <w:rPr>
          <w:rFonts w:ascii="Arial" w:eastAsia="Times New Roman" w:hAnsi="Arial" w:cs="Arial"/>
          <w:color w:val="auto"/>
          <w:sz w:val="22"/>
        </w:rPr>
        <w:t xml:space="preserve"> jurídica e de regularidade fiscal, trabalhista, qualificação técnica e econômica são as usuais para a generalidade dos objetos e poderão ser </w:t>
      </w:r>
      <w:proofErr w:type="gramStart"/>
      <w:r w:rsidRPr="00C71549">
        <w:rPr>
          <w:rFonts w:ascii="Arial" w:eastAsia="Times New Roman" w:hAnsi="Arial" w:cs="Arial"/>
          <w:color w:val="auto"/>
          <w:sz w:val="22"/>
        </w:rPr>
        <w:t>melhor</w:t>
      </w:r>
      <w:proofErr w:type="gramEnd"/>
      <w:r w:rsidRPr="00C71549">
        <w:rPr>
          <w:rFonts w:ascii="Arial" w:eastAsia="Times New Roman" w:hAnsi="Arial" w:cs="Arial"/>
          <w:color w:val="auto"/>
          <w:sz w:val="22"/>
        </w:rPr>
        <w:t xml:space="preserve"> definidas, complementadas ou subsidiadas em edital a serem atendidos pelo fornecedor.</w:t>
      </w:r>
    </w:p>
    <w:p w14:paraId="7423A0A7" w14:textId="77777777" w:rsidR="00F96C58" w:rsidRPr="008879B6" w:rsidRDefault="00F96C58" w:rsidP="00F96C58">
      <w:pPr>
        <w:pStyle w:val="PargrafodaLista"/>
        <w:numPr>
          <w:ilvl w:val="1"/>
          <w:numId w:val="7"/>
        </w:numPr>
        <w:spacing w:before="120" w:after="120" w:line="276" w:lineRule="auto"/>
        <w:ind w:right="-30"/>
        <w:rPr>
          <w:rFonts w:ascii="Arial" w:eastAsia="Times New Roman" w:hAnsi="Arial" w:cs="Tahoma"/>
          <w:b/>
          <w:color w:val="auto"/>
          <w:sz w:val="20"/>
          <w:szCs w:val="24"/>
          <w:lang w:eastAsia="ar-SA"/>
        </w:rPr>
      </w:pPr>
      <w:r w:rsidRPr="008879B6">
        <w:rPr>
          <w:rFonts w:ascii="Arial" w:eastAsia="Times New Roman" w:hAnsi="Arial" w:cs="Tahoma"/>
          <w:b/>
          <w:color w:val="auto"/>
          <w:sz w:val="20"/>
          <w:szCs w:val="24"/>
          <w:lang w:eastAsia="ar-SA"/>
        </w:rPr>
        <w:t>E</w:t>
      </w:r>
      <w:r w:rsidRPr="008879B6">
        <w:rPr>
          <w:rFonts w:ascii="Arial" w:eastAsia="Times New Roman" w:hAnsi="Arial" w:cs="Tahoma"/>
          <w:b/>
          <w:color w:val="auto"/>
          <w:sz w:val="20"/>
          <w:szCs w:val="20"/>
          <w:lang w:eastAsia="ar-SA"/>
        </w:rPr>
        <w:t>xigências de habilitação</w:t>
      </w:r>
      <w:r w:rsidRPr="008879B6">
        <w:rPr>
          <w:rFonts w:ascii="Arial" w:eastAsia="Times New Roman" w:hAnsi="Arial" w:cs="Tahoma"/>
          <w:b/>
          <w:color w:val="auto"/>
          <w:sz w:val="20"/>
          <w:szCs w:val="24"/>
          <w:lang w:eastAsia="ar-SA"/>
        </w:rPr>
        <w:t xml:space="preserve">: </w:t>
      </w:r>
      <w:r w:rsidRPr="008879B6">
        <w:rPr>
          <w:rFonts w:ascii="Arial" w:eastAsia="Times New Roman" w:hAnsi="Arial" w:cs="Tahoma"/>
          <w:color w:val="auto"/>
          <w:sz w:val="20"/>
          <w:szCs w:val="24"/>
          <w:lang w:eastAsia="ar-SA"/>
        </w:rPr>
        <w:t xml:space="preserve">Como condição prévia ao exame da documentação de habilitação do licitante detentor da proposta classificada em primeiro lugar, </w:t>
      </w:r>
      <w:r w:rsidRPr="008879B6">
        <w:rPr>
          <w:rFonts w:ascii="Arial" w:eastAsia="Times New Roman" w:hAnsi="Arial" w:cs="Tahoma"/>
          <w:b/>
          <w:color w:val="auto"/>
          <w:sz w:val="20"/>
          <w:szCs w:val="24"/>
          <w:lang w:eastAsia="ar-SA"/>
        </w:rPr>
        <w:t xml:space="preserve">será verificado </w:t>
      </w:r>
      <w:r w:rsidRPr="008879B6">
        <w:rPr>
          <w:rFonts w:ascii="Arial" w:eastAsia="Times New Roman" w:hAnsi="Arial" w:cs="Tahoma"/>
          <w:color w:val="auto"/>
          <w:sz w:val="20"/>
          <w:szCs w:val="24"/>
          <w:lang w:eastAsia="ar-SA"/>
        </w:rPr>
        <w:t xml:space="preserve">eventual descumprimento das condições de participação, especialmente quanto à existência de sanção que impeça a participação no certame ou a futura contratação, mediante a consulta aos seguintes cadastros:  </w:t>
      </w:r>
    </w:p>
    <w:p w14:paraId="15D72407" w14:textId="77777777" w:rsidR="00F96C58" w:rsidRPr="008879B6" w:rsidRDefault="00F96C58" w:rsidP="00F96C58">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 xml:space="preserve">SICAF;  </w:t>
      </w:r>
    </w:p>
    <w:p w14:paraId="798DCFAB" w14:textId="77777777" w:rsidR="00F96C58" w:rsidRPr="008879B6" w:rsidRDefault="00F96C58" w:rsidP="00F96C58">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Cadastro Nacional de Empresas Inidôneas e Suspensas - CEIS, mantido pela Controladoria-Geral da União (</w:t>
      </w:r>
      <w:hyperlink r:id="rId9" w:history="1">
        <w:r w:rsidRPr="008879B6">
          <w:rPr>
            <w:rFonts w:ascii="Arial" w:eastAsia="Times New Roman" w:hAnsi="Arial" w:cs="Arial"/>
            <w:color w:val="000080"/>
            <w:sz w:val="20"/>
            <w:szCs w:val="20"/>
            <w:u w:val="single"/>
            <w:lang w:eastAsia="ar-SA"/>
          </w:rPr>
          <w:t>www.portaldatransparencia.gov.br/ceis</w:t>
        </w:r>
      </w:hyperlink>
      <w:r w:rsidRPr="008879B6">
        <w:rPr>
          <w:rFonts w:ascii="Arial" w:eastAsia="Times New Roman" w:hAnsi="Arial" w:cs="Arial"/>
          <w:color w:val="auto"/>
          <w:sz w:val="20"/>
          <w:szCs w:val="20"/>
          <w:lang w:eastAsia="ar-SA"/>
        </w:rPr>
        <w:t xml:space="preserve">);  </w:t>
      </w:r>
    </w:p>
    <w:p w14:paraId="5064DCFD" w14:textId="77777777" w:rsidR="00F96C58" w:rsidRPr="008879B6" w:rsidRDefault="00F96C58" w:rsidP="00F96C58">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Cadastro Nacional de Condenações Cíveis por Atos de Improbidade Administrativa, mantido pelo Conselho Nacional de Justiça (</w:t>
      </w:r>
      <w:hyperlink r:id="rId10" w:history="1">
        <w:r w:rsidRPr="008879B6">
          <w:rPr>
            <w:rFonts w:ascii="Arial" w:eastAsia="Times New Roman" w:hAnsi="Arial" w:cs="Arial"/>
            <w:color w:val="000080"/>
            <w:sz w:val="20"/>
            <w:szCs w:val="20"/>
            <w:u w:val="single"/>
            <w:lang w:eastAsia="ar-SA"/>
          </w:rPr>
          <w:t>www.cnj.jus.br/improbidade_adm/consultar_requerido.php</w:t>
        </w:r>
      </w:hyperlink>
      <w:r w:rsidRPr="008879B6">
        <w:rPr>
          <w:rFonts w:ascii="Arial" w:eastAsia="Times New Roman" w:hAnsi="Arial" w:cs="Arial"/>
          <w:color w:val="auto"/>
          <w:sz w:val="20"/>
          <w:szCs w:val="20"/>
          <w:lang w:eastAsia="ar-SA"/>
        </w:rPr>
        <w:t xml:space="preserve">).  </w:t>
      </w:r>
    </w:p>
    <w:p w14:paraId="487EB824" w14:textId="77777777" w:rsidR="00F96C58" w:rsidRDefault="00F96C58" w:rsidP="00F96C58">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Lista de inidôneos e inabilitados declarados pelo Tribunal de Contas da União – TCU. Inidôneos: (</w:t>
      </w:r>
      <w:hyperlink r:id="rId11" w:history="1">
        <w:r w:rsidRPr="008879B6">
          <w:rPr>
            <w:rFonts w:ascii="Arial" w:eastAsia="Times New Roman" w:hAnsi="Arial" w:cs="Arial"/>
            <w:color w:val="000080"/>
            <w:sz w:val="20"/>
            <w:szCs w:val="20"/>
            <w:u w:val="single"/>
            <w:lang w:eastAsia="ar-SA"/>
          </w:rPr>
          <w:t>https://contas.tcu.gov.br/ords/f?p=INABILITADO:INIDONEOS</w:t>
        </w:r>
      </w:hyperlink>
      <w:r w:rsidRPr="008879B6">
        <w:rPr>
          <w:rFonts w:ascii="Arial" w:eastAsia="Times New Roman" w:hAnsi="Arial" w:cs="Arial"/>
          <w:color w:val="auto"/>
          <w:sz w:val="20"/>
          <w:szCs w:val="20"/>
          <w:lang w:eastAsia="ar-SA"/>
        </w:rPr>
        <w:t>) e Inabilitados: (</w:t>
      </w:r>
      <w:hyperlink r:id="rId12" w:history="1">
        <w:r w:rsidRPr="008879B6">
          <w:rPr>
            <w:rFonts w:ascii="Arial" w:eastAsia="Times New Roman" w:hAnsi="Arial" w:cs="Arial"/>
            <w:color w:val="000080"/>
            <w:sz w:val="20"/>
            <w:szCs w:val="20"/>
            <w:u w:val="single"/>
            <w:lang w:eastAsia="ar-SA"/>
          </w:rPr>
          <w:t>https://contas.tcu.gov.br/ords/f?p=INABILITADO:INABILITADO</w:t>
        </w:r>
      </w:hyperlink>
      <w:r w:rsidRPr="008879B6">
        <w:rPr>
          <w:rFonts w:ascii="Arial" w:eastAsia="Times New Roman" w:hAnsi="Arial" w:cs="Arial"/>
          <w:color w:val="auto"/>
          <w:sz w:val="20"/>
          <w:szCs w:val="20"/>
          <w:lang w:eastAsia="ar-SA"/>
        </w:rPr>
        <w:t>).</w:t>
      </w:r>
    </w:p>
    <w:p w14:paraId="406B1BF0" w14:textId="77777777" w:rsidR="00F96C58" w:rsidRDefault="00F96C58" w:rsidP="00F96C58">
      <w:pPr>
        <w:pStyle w:val="PargrafodaLista"/>
        <w:numPr>
          <w:ilvl w:val="1"/>
          <w:numId w:val="7"/>
        </w:numPr>
        <w:spacing w:after="0" w:line="276" w:lineRule="auto"/>
        <w:ind w:right="-30"/>
        <w:rPr>
          <w:rFonts w:ascii="Arial" w:eastAsia="Times New Roman" w:hAnsi="Arial" w:cs="Tahoma"/>
          <w:bCs/>
          <w:color w:val="auto"/>
          <w:sz w:val="20"/>
          <w:szCs w:val="24"/>
          <w:lang w:eastAsia="ar-SA"/>
        </w:rPr>
      </w:pPr>
      <w:r w:rsidRPr="000D723E">
        <w:rPr>
          <w:rFonts w:ascii="Arial" w:eastAsia="Times New Roman" w:hAnsi="Arial" w:cs="Tahoma"/>
          <w:bCs/>
          <w:color w:val="auto"/>
          <w:sz w:val="20"/>
          <w:szCs w:val="24"/>
          <w:lang w:eastAsia="ar-SA"/>
        </w:rPr>
        <w:t>Para a consulta de licitantes pessoa jurídica poderá haver a substituição das consultas das alíneas “b”, “c” e “d” acima pela Consulta Consolidada de Pessoa Jurídica do TCU (</w:t>
      </w:r>
      <w:hyperlink r:id="rId13" w:history="1">
        <w:r w:rsidRPr="00BA5092">
          <w:rPr>
            <w:rStyle w:val="Hyperlink"/>
            <w:rFonts w:ascii="Arial" w:eastAsia="Times New Roman" w:hAnsi="Arial" w:cs="Tahoma"/>
            <w:bCs/>
            <w:sz w:val="20"/>
            <w:szCs w:val="24"/>
            <w:lang w:eastAsia="ar-SA"/>
          </w:rPr>
          <w:t>https://certidoes-apf.apps.tcu.gov.br/</w:t>
        </w:r>
      </w:hyperlink>
      <w:r w:rsidRPr="000D723E">
        <w:rPr>
          <w:rFonts w:ascii="Arial" w:eastAsia="Times New Roman" w:hAnsi="Arial" w:cs="Tahoma"/>
          <w:bCs/>
          <w:color w:val="auto"/>
          <w:sz w:val="20"/>
          <w:szCs w:val="24"/>
          <w:lang w:eastAsia="ar-SA"/>
        </w:rPr>
        <w:t>).</w:t>
      </w:r>
    </w:p>
    <w:p w14:paraId="681B9E60" w14:textId="77777777" w:rsidR="00F96C58" w:rsidRPr="000D723E" w:rsidRDefault="00F96C58" w:rsidP="00F96C58">
      <w:pPr>
        <w:pStyle w:val="PargrafodaLista"/>
        <w:spacing w:after="0" w:line="276" w:lineRule="auto"/>
        <w:ind w:left="716" w:right="-30" w:firstLine="0"/>
        <w:rPr>
          <w:rFonts w:ascii="Arial" w:eastAsia="Times New Roman" w:hAnsi="Arial" w:cs="Tahoma"/>
          <w:bCs/>
          <w:color w:val="auto"/>
          <w:sz w:val="20"/>
          <w:szCs w:val="24"/>
          <w:lang w:eastAsia="ar-SA"/>
        </w:rPr>
      </w:pPr>
    </w:p>
    <w:p w14:paraId="0697C110" w14:textId="77777777" w:rsidR="00F96C58" w:rsidRDefault="00F96C58" w:rsidP="00F96C58">
      <w:pPr>
        <w:pStyle w:val="PargrafodaLista"/>
        <w:numPr>
          <w:ilvl w:val="1"/>
          <w:numId w:val="7"/>
        </w:numPr>
        <w:spacing w:after="0" w:line="276" w:lineRule="auto"/>
        <w:ind w:right="-30"/>
        <w:rPr>
          <w:rFonts w:ascii="Arial" w:eastAsia="Times New Roman" w:hAnsi="Arial" w:cs="Tahoma"/>
          <w:bCs/>
          <w:color w:val="auto"/>
          <w:sz w:val="20"/>
          <w:szCs w:val="24"/>
          <w:lang w:eastAsia="ar-SA"/>
        </w:rPr>
      </w:pPr>
      <w:r w:rsidRPr="000D723E">
        <w:rPr>
          <w:rFonts w:ascii="Arial" w:eastAsia="Times New Roman" w:hAnsi="Arial" w:cs="Tahoma"/>
          <w:bCs/>
          <w:color w:val="auto"/>
          <w:sz w:val="20"/>
          <w:szCs w:val="24"/>
          <w:lang w:eastAsia="ar-SA"/>
        </w:rPr>
        <w:lastRenderedPageBreak/>
        <w:t>Em caso de impossibilidade de consulta ou licitantes deixar de apresentar os documentos de habilitação que constem do SICAF, os licitantes deverão encaminhar a documentação relacionada.</w:t>
      </w:r>
    </w:p>
    <w:p w14:paraId="06D643C7" w14:textId="77777777" w:rsidR="00F96C58" w:rsidRPr="000D723E" w:rsidRDefault="00F96C58" w:rsidP="00F96C58">
      <w:pPr>
        <w:pStyle w:val="PargrafodaLista"/>
        <w:spacing w:after="0" w:line="276" w:lineRule="auto"/>
        <w:ind w:left="716" w:right="-30" w:firstLine="0"/>
        <w:rPr>
          <w:rFonts w:ascii="Arial" w:eastAsia="Times New Roman" w:hAnsi="Arial" w:cs="Tahoma"/>
          <w:bCs/>
          <w:color w:val="auto"/>
          <w:sz w:val="20"/>
          <w:szCs w:val="24"/>
          <w:lang w:eastAsia="ar-SA"/>
        </w:rPr>
      </w:pPr>
    </w:p>
    <w:p w14:paraId="64F2EF46" w14:textId="77777777" w:rsidR="00F96C58" w:rsidRPr="000D723E" w:rsidRDefault="00F96C58" w:rsidP="00F96C58">
      <w:pPr>
        <w:pStyle w:val="PargrafodaLista"/>
        <w:numPr>
          <w:ilvl w:val="1"/>
          <w:numId w:val="7"/>
        </w:numPr>
        <w:spacing w:after="0" w:line="276" w:lineRule="auto"/>
        <w:ind w:right="-30"/>
        <w:rPr>
          <w:rFonts w:ascii="Arial" w:eastAsia="Times New Roman" w:hAnsi="Arial" w:cs="Tahoma"/>
          <w:bCs/>
          <w:color w:val="auto"/>
          <w:sz w:val="20"/>
          <w:szCs w:val="24"/>
          <w:lang w:eastAsia="ar-SA"/>
        </w:rPr>
      </w:pPr>
      <w:r w:rsidRPr="000D723E">
        <w:rPr>
          <w:rFonts w:ascii="Arial" w:eastAsia="Times New Roman" w:hAnsi="Arial" w:cs="Tahoma"/>
          <w:bCs/>
          <w:color w:val="auto"/>
          <w:sz w:val="20"/>
          <w:szCs w:val="24"/>
          <w:lang w:eastAsia="ar-SA"/>
        </w:rPr>
        <w:t>Por tratar-se de aquisição que não envolve maior complexidade, torna-se desproporcional o cumprimento de requisitos muito elaborados. Portanto, na presente contratação as exigências limitam-se à comprovação tão somente à regularidade fiscal, jurídica, trabalhista e a qualificação econômica basta apresentação de Certidão negativa de falência ou concordata expedida pelo distribuidor da sede da pessoa jurídica, ou de execução patrimonial, expedida no domicílio da pessoa física, nos termos da Lei nº 8.666/1993.</w:t>
      </w:r>
    </w:p>
    <w:p w14:paraId="364B20D6" w14:textId="77777777" w:rsidR="00353CB0" w:rsidRPr="00C71549" w:rsidRDefault="00353CB0" w:rsidP="00353CB0">
      <w:pPr>
        <w:pStyle w:val="PargrafodaLista"/>
        <w:numPr>
          <w:ilvl w:val="1"/>
          <w:numId w:val="7"/>
        </w:numPr>
        <w:spacing w:before="120" w:after="120" w:line="276" w:lineRule="auto"/>
        <w:ind w:right="-30"/>
        <w:rPr>
          <w:rFonts w:ascii="Arial" w:eastAsia="Times New Roman" w:hAnsi="Arial" w:cs="Tahoma"/>
          <w:sz w:val="22"/>
        </w:rPr>
      </w:pPr>
      <w:r w:rsidRPr="00C71549">
        <w:rPr>
          <w:rFonts w:ascii="Arial" w:eastAsia="Times New Roman" w:hAnsi="Arial" w:cs="Tahoma"/>
          <w:sz w:val="22"/>
        </w:rPr>
        <w:t>Constatado o atendimento às exigências de habilitação fixadas, o licitante será declarado vencedor.</w:t>
      </w:r>
    </w:p>
    <w:p w14:paraId="18E7D35C" w14:textId="77777777" w:rsidR="00353CB0" w:rsidRPr="00C71549" w:rsidRDefault="00353CB0" w:rsidP="00353CB0">
      <w:pPr>
        <w:spacing w:after="360" w:line="240" w:lineRule="auto"/>
        <w:ind w:left="360" w:firstLine="0"/>
        <w:jc w:val="left"/>
        <w:rPr>
          <w:rFonts w:ascii="Arial" w:eastAsia="Times New Roman" w:hAnsi="Arial" w:cs="Arial"/>
          <w:color w:val="auto"/>
          <w:sz w:val="22"/>
        </w:rPr>
      </w:pPr>
      <w:r w:rsidRPr="00C71549">
        <w:rPr>
          <w:rFonts w:ascii="Arial" w:eastAsia="Times New Roman" w:hAnsi="Arial" w:cs="Arial"/>
          <w:b/>
          <w:bCs/>
          <w:color w:val="FF0000"/>
          <w:sz w:val="22"/>
        </w:rPr>
        <w:t xml:space="preserve">Porto Velho/RO, .......... </w:t>
      </w:r>
      <w:r w:rsidRPr="00C71549">
        <w:rPr>
          <w:rFonts w:ascii="Arial" w:eastAsia="Times New Roman" w:hAnsi="Arial" w:cs="Arial"/>
          <w:bCs/>
          <w:color w:val="auto"/>
          <w:sz w:val="22"/>
        </w:rPr>
        <w:t>de</w:t>
      </w:r>
      <w:r w:rsidRPr="00C71549">
        <w:rPr>
          <w:rFonts w:ascii="Arial" w:eastAsia="Times New Roman" w:hAnsi="Arial" w:cs="Arial"/>
          <w:b/>
          <w:bCs/>
          <w:color w:val="FF0000"/>
          <w:sz w:val="22"/>
        </w:rPr>
        <w:t xml:space="preserve"> ................</w:t>
      </w:r>
      <w:r w:rsidRPr="00C71549">
        <w:rPr>
          <w:rFonts w:ascii="Arial" w:eastAsia="Times New Roman" w:hAnsi="Arial" w:cs="Arial"/>
          <w:bCs/>
          <w:color w:val="auto"/>
          <w:sz w:val="22"/>
        </w:rPr>
        <w:t>de</w:t>
      </w:r>
      <w:r w:rsidRPr="00C71549">
        <w:rPr>
          <w:rFonts w:ascii="Arial" w:eastAsia="Times New Roman" w:hAnsi="Arial" w:cs="Arial"/>
          <w:b/>
          <w:bCs/>
          <w:color w:val="FF0000"/>
          <w:sz w:val="22"/>
        </w:rPr>
        <w:t xml:space="preserve"> ............</w:t>
      </w:r>
      <w:r w:rsidRPr="00C71549">
        <w:rPr>
          <w:rFonts w:ascii="Arial" w:eastAsia="Times New Roman" w:hAnsi="Arial" w:cs="Arial"/>
          <w:color w:val="auto"/>
          <w:sz w:val="22"/>
        </w:rPr>
        <w:t xml:space="preserve">. </w:t>
      </w:r>
    </w:p>
    <w:tbl>
      <w:tblPr>
        <w:tblStyle w:val="Tabelacomgrade2"/>
        <w:tblW w:w="0" w:type="auto"/>
        <w:tblInd w:w="360" w:type="dxa"/>
        <w:tblLook w:val="04A0" w:firstRow="1" w:lastRow="0" w:firstColumn="1" w:lastColumn="0" w:noHBand="0" w:noVBand="1"/>
      </w:tblPr>
      <w:tblGrid>
        <w:gridCol w:w="4492"/>
        <w:gridCol w:w="4492"/>
      </w:tblGrid>
      <w:tr w:rsidR="00353CB0" w:rsidRPr="00C71549" w14:paraId="13E69B56" w14:textId="77777777" w:rsidTr="00353CB0">
        <w:tc>
          <w:tcPr>
            <w:tcW w:w="4357" w:type="dxa"/>
          </w:tcPr>
          <w:p w14:paraId="07D35442"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________________________________</w:t>
            </w:r>
          </w:p>
          <w:p w14:paraId="51542D49"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Solicitante</w:t>
            </w:r>
          </w:p>
          <w:p w14:paraId="255A2409"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Cargo/função</w:t>
            </w:r>
          </w:p>
          <w:p w14:paraId="0E2530EF" w14:textId="77777777" w:rsidR="00353CB0" w:rsidRPr="00C71549" w:rsidRDefault="00353CB0" w:rsidP="006C396E">
            <w:pPr>
              <w:spacing w:after="0" w:line="240" w:lineRule="auto"/>
              <w:ind w:left="0" w:firstLine="0"/>
              <w:jc w:val="center"/>
              <w:rPr>
                <w:rFonts w:ascii="Arial" w:eastAsia="MS Mincho" w:hAnsi="Arial" w:cs="Arial"/>
                <w:color w:val="auto"/>
                <w:sz w:val="22"/>
                <w:szCs w:val="22"/>
              </w:rPr>
            </w:pPr>
          </w:p>
        </w:tc>
        <w:tc>
          <w:tcPr>
            <w:tcW w:w="4358" w:type="dxa"/>
          </w:tcPr>
          <w:p w14:paraId="43D2F520"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________________________________</w:t>
            </w:r>
          </w:p>
          <w:p w14:paraId="0F129E3A" w14:textId="77777777" w:rsidR="00353CB0" w:rsidRPr="00C71549" w:rsidRDefault="00353CB0" w:rsidP="006C396E">
            <w:pPr>
              <w:spacing w:after="0" w:line="240" w:lineRule="auto"/>
              <w:ind w:left="360" w:firstLine="0"/>
              <w:jc w:val="center"/>
              <w:rPr>
                <w:rFonts w:ascii="Arial" w:eastAsia="MS Mincho" w:hAnsi="Arial" w:cs="Arial"/>
                <w:color w:val="auto"/>
                <w:sz w:val="22"/>
                <w:szCs w:val="22"/>
              </w:rPr>
            </w:pPr>
            <w:r w:rsidRPr="00C71549">
              <w:rPr>
                <w:rFonts w:ascii="Arial" w:eastAsia="MS Mincho" w:hAnsi="Arial" w:cs="Arial"/>
                <w:color w:val="auto"/>
                <w:sz w:val="22"/>
                <w:szCs w:val="22"/>
              </w:rPr>
              <w:t>Equipe responsável pelo termo de referência</w:t>
            </w:r>
          </w:p>
          <w:p w14:paraId="584CC321" w14:textId="77777777" w:rsidR="00353CB0" w:rsidRPr="00C71549" w:rsidRDefault="00353CB0" w:rsidP="006C396E">
            <w:pPr>
              <w:spacing w:after="0" w:line="240" w:lineRule="auto"/>
              <w:ind w:left="0" w:firstLine="0"/>
              <w:jc w:val="center"/>
              <w:rPr>
                <w:rFonts w:ascii="Arial" w:eastAsia="MS Mincho" w:hAnsi="Arial" w:cs="Arial"/>
                <w:color w:val="auto"/>
                <w:sz w:val="22"/>
                <w:szCs w:val="22"/>
              </w:rPr>
            </w:pPr>
          </w:p>
        </w:tc>
      </w:tr>
    </w:tbl>
    <w:p w14:paraId="10E1FDA0" w14:textId="77777777" w:rsidR="00353CB0" w:rsidRPr="00C71549" w:rsidRDefault="00353CB0" w:rsidP="00353CB0">
      <w:pPr>
        <w:spacing w:after="360" w:line="240" w:lineRule="auto"/>
        <w:ind w:left="360" w:firstLine="0"/>
        <w:jc w:val="left"/>
        <w:rPr>
          <w:rFonts w:ascii="Arial" w:eastAsia="Times New Roman" w:hAnsi="Arial" w:cs="Arial"/>
          <w:color w:val="auto"/>
          <w:sz w:val="22"/>
        </w:rPr>
      </w:pPr>
    </w:p>
    <w:p w14:paraId="48CB8C43" w14:textId="77777777" w:rsidR="00353CB0" w:rsidRPr="00C71549" w:rsidRDefault="00353CB0" w:rsidP="00353CB0">
      <w:pPr>
        <w:spacing w:after="2" w:line="239" w:lineRule="auto"/>
        <w:ind w:left="512" w:right="42" w:firstLine="0"/>
        <w:jc w:val="left"/>
        <w:rPr>
          <w:rFonts w:ascii="Arial" w:eastAsia="Times New Roman" w:hAnsi="Arial" w:cs="Tahoma"/>
          <w:color w:val="auto"/>
          <w:sz w:val="22"/>
        </w:rPr>
      </w:pPr>
      <w:r w:rsidRPr="00C71549">
        <w:rPr>
          <w:rFonts w:ascii="Arial" w:eastAsia="Times New Roman" w:hAnsi="Arial" w:cs="Tahoma"/>
          <w:color w:val="auto"/>
          <w:sz w:val="22"/>
        </w:rPr>
        <w:t xml:space="preserve">De acordo. Aprovo o Termo de Referência nos moldes delineados, à vista de todo o detalhamento descrito no referido documento. </w:t>
      </w:r>
    </w:p>
    <w:p w14:paraId="43D0B577" w14:textId="77777777" w:rsidR="00353CB0" w:rsidRPr="00C71549" w:rsidRDefault="00353CB0" w:rsidP="00353CB0">
      <w:pPr>
        <w:spacing w:after="0" w:line="259" w:lineRule="auto"/>
        <w:ind w:left="141" w:firstLine="0"/>
        <w:jc w:val="center"/>
        <w:rPr>
          <w:rFonts w:ascii="Arial" w:eastAsia="Times New Roman" w:hAnsi="Arial" w:cs="Tahoma"/>
          <w:color w:val="auto"/>
          <w:sz w:val="22"/>
        </w:rPr>
      </w:pPr>
      <w:r w:rsidRPr="00C71549">
        <w:rPr>
          <w:rFonts w:ascii="Arial" w:eastAsia="Times New Roman" w:hAnsi="Arial" w:cs="Tahoma"/>
          <w:color w:val="auto"/>
          <w:sz w:val="22"/>
        </w:rPr>
        <w:t xml:space="preserve"> </w:t>
      </w:r>
    </w:p>
    <w:p w14:paraId="38CE68E1" w14:textId="77777777" w:rsidR="00353CB0" w:rsidRPr="00C71549" w:rsidRDefault="00353CB0" w:rsidP="00353CB0">
      <w:pPr>
        <w:spacing w:after="3" w:line="257" w:lineRule="auto"/>
        <w:ind w:left="458" w:firstLine="0"/>
        <w:jc w:val="center"/>
        <w:rPr>
          <w:rFonts w:ascii="Arial" w:eastAsia="Times New Roman" w:hAnsi="Arial" w:cs="Tahoma"/>
          <w:color w:val="auto"/>
          <w:sz w:val="22"/>
        </w:rPr>
      </w:pPr>
      <w:r w:rsidRPr="00C71549">
        <w:rPr>
          <w:rFonts w:ascii="Arial" w:eastAsia="Times New Roman" w:hAnsi="Arial" w:cs="Tahoma"/>
          <w:color w:val="auto"/>
          <w:sz w:val="22"/>
        </w:rPr>
        <w:t xml:space="preserve">_______________________________________ </w:t>
      </w:r>
    </w:p>
    <w:p w14:paraId="619A40A0" w14:textId="77777777" w:rsidR="00353CB0" w:rsidRPr="00C71549" w:rsidRDefault="00353CB0" w:rsidP="00353CB0">
      <w:pPr>
        <w:spacing w:after="3" w:line="257" w:lineRule="auto"/>
        <w:ind w:left="458" w:right="359" w:firstLine="0"/>
        <w:jc w:val="center"/>
        <w:rPr>
          <w:rFonts w:ascii="Arial" w:eastAsia="Times New Roman" w:hAnsi="Arial" w:cs="Tahoma"/>
          <w:color w:val="auto"/>
          <w:sz w:val="22"/>
        </w:rPr>
      </w:pPr>
      <w:r w:rsidRPr="00C71549">
        <w:rPr>
          <w:rFonts w:ascii="Arial" w:eastAsia="Times New Roman" w:hAnsi="Arial" w:cs="Tahoma"/>
          <w:color w:val="auto"/>
          <w:sz w:val="22"/>
        </w:rPr>
        <w:t>NOME</w:t>
      </w:r>
    </w:p>
    <w:p w14:paraId="75AE1F80" w14:textId="77777777" w:rsidR="00353CB0" w:rsidRPr="00C71549" w:rsidRDefault="00353CB0" w:rsidP="00353CB0">
      <w:pPr>
        <w:spacing w:after="3" w:line="257" w:lineRule="auto"/>
        <w:ind w:left="458" w:right="354" w:firstLine="0"/>
        <w:jc w:val="center"/>
        <w:rPr>
          <w:rFonts w:ascii="Arial" w:eastAsia="Times New Roman" w:hAnsi="Arial" w:cs="Tahoma"/>
          <w:color w:val="auto"/>
          <w:sz w:val="22"/>
        </w:rPr>
      </w:pPr>
      <w:r w:rsidRPr="00C71549">
        <w:rPr>
          <w:rFonts w:ascii="Arial" w:eastAsia="Times New Roman" w:hAnsi="Arial" w:cs="Tahoma"/>
          <w:color w:val="auto"/>
          <w:sz w:val="22"/>
        </w:rPr>
        <w:t xml:space="preserve">   Presidente do CAU/RO</w:t>
      </w:r>
      <w:bookmarkEnd w:id="1"/>
    </w:p>
    <w:p w14:paraId="3BBCC164" w14:textId="5353EA06" w:rsidR="00F30EE8" w:rsidRPr="00C71549" w:rsidRDefault="00F30EE8" w:rsidP="008879B6">
      <w:pPr>
        <w:ind w:left="0"/>
        <w:rPr>
          <w:sz w:val="22"/>
        </w:rPr>
      </w:pPr>
    </w:p>
    <w:p w14:paraId="34151917" w14:textId="022D5CFA" w:rsidR="00F62ACC" w:rsidRPr="00C71549" w:rsidRDefault="00F62ACC">
      <w:pPr>
        <w:spacing w:after="160" w:line="259" w:lineRule="auto"/>
        <w:ind w:left="0" w:firstLine="0"/>
        <w:jc w:val="left"/>
        <w:rPr>
          <w:rFonts w:ascii="Arial" w:hAnsi="Arial" w:cs="Arial"/>
          <w:b/>
          <w:bCs/>
          <w:sz w:val="22"/>
        </w:rPr>
      </w:pPr>
    </w:p>
    <w:sectPr w:rsidR="00F62ACC" w:rsidRPr="00C71549" w:rsidSect="004F217E">
      <w:headerReference w:type="even" r:id="rId14"/>
      <w:headerReference w:type="default" r:id="rId15"/>
      <w:footerReference w:type="even" r:id="rId16"/>
      <w:footerReference w:type="default" r:id="rId17"/>
      <w:headerReference w:type="first" r:id="rId18"/>
      <w:footerReference w:type="first" r:id="rId19"/>
      <w:pgSz w:w="11920" w:h="16840"/>
      <w:pgMar w:top="418" w:right="1174" w:bottom="1440" w:left="1044" w:header="720" w:footer="17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3160" w14:textId="77777777" w:rsidR="002A4695" w:rsidRDefault="002A4695">
      <w:pPr>
        <w:spacing w:after="0" w:line="240" w:lineRule="auto"/>
      </w:pPr>
      <w:r>
        <w:separator/>
      </w:r>
    </w:p>
  </w:endnote>
  <w:endnote w:type="continuationSeparator" w:id="0">
    <w:p w14:paraId="76FCAC89" w14:textId="77777777" w:rsidR="002A4695" w:rsidRDefault="002A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yriadPro-Regular">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148B" w14:textId="77777777" w:rsidR="00D0324F" w:rsidRDefault="00D032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83A9"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63360" behindDoc="0" locked="0" layoutInCell="1" hidden="0" allowOverlap="1" wp14:anchorId="38BD9A84" wp14:editId="5CDD9AFC">
              <wp:simplePos x="0" y="0"/>
              <wp:positionH relativeFrom="page">
                <wp:posOffset>-22225</wp:posOffset>
              </wp:positionH>
              <wp:positionV relativeFrom="paragraph">
                <wp:posOffset>-15240</wp:posOffset>
              </wp:positionV>
              <wp:extent cx="7574280" cy="15240"/>
              <wp:effectExtent l="0" t="0" r="26670" b="22860"/>
              <wp:wrapNone/>
              <wp:docPr id="68" name="Conector de seta reta 68"/>
              <wp:cNvGraphicFramePr/>
              <a:graphic xmlns:a="http://schemas.openxmlformats.org/drawingml/2006/main">
                <a:graphicData uri="http://schemas.microsoft.com/office/word/2010/wordprocessingShape">
                  <wps:wsp>
                    <wps:cNvCnPr/>
                    <wps:spPr>
                      <a:xfrm>
                        <a:off x="0" y="0"/>
                        <a:ext cx="757428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277EE34" id="_x0000_t32" coordsize="21600,21600" o:spt="32" o:oned="t" path="m,l21600,21600e" filled="f">
              <v:path arrowok="t" fillok="f" o:connecttype="none"/>
              <o:lock v:ext="edit" shapetype="t"/>
            </v:shapetype>
            <v:shape id="Conector de seta reta 68" o:spid="_x0000_s1026" type="#_x0000_t32" style="position:absolute;margin-left:-1.75pt;margin-top:-1.2pt;width:596.4pt;height:1.2p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L5wEAAMMDAAAOAAAAZHJzL2Uyb0RvYy54bWysU8mO2zAMvRfoPwi6T+wEk5k0iDOHpNNL&#10;0QZo+wGMFluANohqnPx9KTnNdDkUKMYGaIoUycdHevN0dpadVEITfMfns5Yz5UWQxvcd//b1+W7F&#10;GWbwEmzwquMXhfxp+/bNZoxrtQhDsFIlRkk8rsfY8SHnuG4aFINygLMQlSenDslBpmPqG5lgpOzO&#10;Nou2fWjGkGRMQShEsu4nJ9/W/ForkT9rjSoz23HClqtMVR6LbLYbWPcJ4mDEFQb8BwoHxlPRW6o9&#10;ZGDfk/krlTMiBQw6z0RwTdDaCFV7oG7m7R/dfBkgqtoLkYPxRhO+Xlrx6XRIzMiOP9CkPDia0Y4m&#10;JXJITCpG1AFLRZCfyBojrilm5w/pesJ4SKXzs06ufKkndq4EX24Eq3NmgoyPy8f7xYrmIMg3Xy7u&#10;6wCal+CYMH9QwbGidBxzAtMPmRBNkOaVZDh9xEzlKfBnQKnsw7Oxtk7UejZShXftshQDWixtIZPq&#10;IrWKvq95MFgjS0yJxtQfdzaxE5RVaVf0loapxm/XSsE94DDdq65piZzJtMnWuI6v2vJM5kGBfO8l&#10;y5dI1Hqilhdo6Dizin4ZUiriDMb++x6hsZ5AlTFMxBftGOSlzqPaaVMq7OtWl1X89VyjX/697Q8A&#10;AAD//wMAUEsDBBQABgAIAAAAIQBzJmMu3QAAAAcBAAAPAAAAZHJzL2Rvd25yZXYueG1sTI5BS8Qw&#10;FITvgv8hPMHLspu0Vam16SLCiiAeXPWeTZ5tMXnpNtlt9debPelpGGaY+er17Cw74hh6TxKylQCG&#10;pL3pqZXw/rZZlsBCVGSU9YQSvjHAujk/q1Vl/ESveNzGlqURCpWS0MU4VJwH3aFTYeUHpJR9+tGp&#10;mOzYcjOqKY07y3MhbrhTPaWHTg340KH+2h6chMenbDP9LEqd248XU4jF3ujnvZSXF/P9HbCIc/wr&#10;wwk/oUOTmHb+QCYwK2FZXKdm0vwK2CnPytsC2E6CAN7U/D9/8wsAAP//AwBQSwECLQAUAAYACAAA&#10;ACEAtoM4kv4AAADhAQAAEwAAAAAAAAAAAAAAAAAAAAAAW0NvbnRlbnRfVHlwZXNdLnhtbFBLAQIt&#10;ABQABgAIAAAAIQA4/SH/1gAAAJQBAAALAAAAAAAAAAAAAAAAAC8BAABfcmVscy8ucmVsc1BLAQIt&#10;ABQABgAIAAAAIQC3uV/L5wEAAMMDAAAOAAAAAAAAAAAAAAAAAC4CAABkcnMvZTJvRG9jLnhtbFBL&#10;AQItABQABgAIAAAAIQBzJmMu3QAAAAcBAAAPAAAAAAAAAAAAAAAAAEEEAABkcnMvZG93bnJldi54&#10;bWxQSwUGAAAAAAQABADzAAAASwUAAAAA&#10;" strokecolor="teal" strokeweight="1.5pt">
              <v:stroke startarrowwidth="narrow" startarrowlength="short" endarrowwidth="narrow" endarrowlength="short" joinstyle="miter"/>
              <w10:wrap anchorx="page"/>
            </v:shape>
          </w:pict>
        </mc:Fallback>
      </mc:AlternateConten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Avenida Carlos Gomes, nº 501. Bairro </w:t>
    </w:r>
    <w:proofErr w:type="spellStart"/>
    <w:r>
      <w:rPr>
        <w:rFonts w:ascii="Times New Roman" w:eastAsia="Times New Roman" w:hAnsi="Times New Roman" w:cs="Times New Roman"/>
        <w:color w:val="008080"/>
        <w:sz w:val="20"/>
        <w:szCs w:val="20"/>
      </w:rPr>
      <w:t>Caiari</w:t>
    </w:r>
    <w:proofErr w:type="spellEnd"/>
    <w:r>
      <w:rPr>
        <w:rFonts w:ascii="Times New Roman" w:eastAsia="Times New Roman" w:hAnsi="Times New Roman" w:cs="Times New Roman"/>
        <w:color w:val="008080"/>
        <w:sz w:val="20"/>
        <w:szCs w:val="20"/>
      </w:rPr>
      <w:t xml:space="preserve">. CEP: 76.801-166 CNPJ: 15.008.662/0001-85 </w:t>
    </w:r>
  </w:p>
  <w:p w14:paraId="489AC7FB"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709329C6" w14:textId="671F8A6A" w:rsidR="00D0324F" w:rsidRDefault="002A4695" w:rsidP="004E1741">
    <w:pPr>
      <w:pBdr>
        <w:top w:val="nil"/>
        <w:left w:val="nil"/>
        <w:bottom w:val="nil"/>
        <w:right w:val="nil"/>
        <w:between w:val="nil"/>
      </w:pBdr>
      <w:tabs>
        <w:tab w:val="center" w:pos="4252"/>
        <w:tab w:val="right" w:pos="8504"/>
      </w:tabs>
      <w:spacing w:after="0" w:line="240" w:lineRule="auto"/>
      <w:ind w:left="-1134"/>
      <w:jc w:val="right"/>
    </w:pPr>
    <w:sdt>
      <w:sdtPr>
        <w:id w:val="-813867255"/>
        <w:docPartObj>
          <w:docPartGallery w:val="Page Numbers (Bottom of Page)"/>
          <w:docPartUnique/>
        </w:docPartObj>
      </w:sdtPr>
      <w:sdtEndPr/>
      <w:sdtContent>
        <w:r w:rsidR="004E1741">
          <w:fldChar w:fldCharType="begin"/>
        </w:r>
        <w:r w:rsidR="004E1741">
          <w:instrText>PAGE   \* MERGEFORMAT</w:instrText>
        </w:r>
        <w:r w:rsidR="004E1741">
          <w:fldChar w:fldCharType="separate"/>
        </w:r>
        <w:r w:rsidR="004E1741">
          <w:t>2</w:t>
        </w:r>
        <w:r w:rsidR="004E174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EC5E" w14:textId="77777777" w:rsidR="00D0324F" w:rsidRDefault="00D032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D3E8D" w14:textId="77777777" w:rsidR="002A4695" w:rsidRDefault="002A4695">
      <w:pPr>
        <w:spacing w:after="0" w:line="240" w:lineRule="auto"/>
      </w:pPr>
      <w:r>
        <w:separator/>
      </w:r>
    </w:p>
  </w:footnote>
  <w:footnote w:type="continuationSeparator" w:id="0">
    <w:p w14:paraId="714505D4" w14:textId="77777777" w:rsidR="002A4695" w:rsidRDefault="002A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5A8B" w14:textId="77777777" w:rsidR="00D0324F" w:rsidRDefault="00D0324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E4B2" w14:textId="49E5D19D" w:rsidR="00D0324F" w:rsidRDefault="004E1741">
    <w:pPr>
      <w:spacing w:after="160" w:line="259" w:lineRule="auto"/>
      <w:ind w:left="0" w:firstLine="0"/>
      <w:jc w:val="left"/>
    </w:pPr>
    <w:r>
      <w:rPr>
        <w:noProof/>
      </w:rPr>
      <w:drawing>
        <wp:anchor distT="0" distB="0" distL="114300" distR="114300" simplePos="0" relativeHeight="251661312" behindDoc="0" locked="0" layoutInCell="1" hidden="0" allowOverlap="1" wp14:anchorId="10A75B97" wp14:editId="561746BF">
          <wp:simplePos x="0" y="0"/>
          <wp:positionH relativeFrom="page">
            <wp:align>left</wp:align>
          </wp:positionH>
          <wp:positionV relativeFrom="paragraph">
            <wp:posOffset>-457200</wp:posOffset>
          </wp:positionV>
          <wp:extent cx="7597140" cy="952500"/>
          <wp:effectExtent l="0" t="0" r="3810" b="0"/>
          <wp:wrapSquare wrapText="bothSides" distT="0" distB="0" distL="114300" distR="114300"/>
          <wp:docPr id="99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D652" w14:textId="6E856352" w:rsidR="00D0324F" w:rsidRDefault="00D032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561CC2"/>
    <w:multiLevelType w:val="hybridMultilevel"/>
    <w:tmpl w:val="0F28C7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D5C100D"/>
    <w:multiLevelType w:val="multilevel"/>
    <w:tmpl w:val="E1D8B85A"/>
    <w:lvl w:ilvl="0">
      <w:start w:val="1"/>
      <w:numFmt w:val="decimal"/>
      <w:pStyle w:val="Nivel1"/>
      <w:lvlText w:val="%1."/>
      <w:lvlJc w:val="left"/>
      <w:pPr>
        <w:ind w:left="248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E3E1017"/>
    <w:multiLevelType w:val="hybridMultilevel"/>
    <w:tmpl w:val="D73471E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4B0B3BC6"/>
    <w:multiLevelType w:val="hybridMultilevel"/>
    <w:tmpl w:val="9034C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2D6178"/>
    <w:multiLevelType w:val="hybridMultilevel"/>
    <w:tmpl w:val="200CBC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0D6860"/>
    <w:multiLevelType w:val="hybridMultilevel"/>
    <w:tmpl w:val="9FACFB8A"/>
    <w:lvl w:ilvl="0" w:tplc="7982FE78">
      <w:start w:val="1"/>
      <w:numFmt w:val="decimal"/>
      <w:lvlText w:val="%1)"/>
      <w:lvlJc w:val="left"/>
      <w:pPr>
        <w:ind w:left="3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15EA6A2">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F07550">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CCBABE">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BAC710">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671FE">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C46D24">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0670D0">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E4772A">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0440E1"/>
    <w:multiLevelType w:val="hybridMultilevel"/>
    <w:tmpl w:val="870699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A004E45"/>
    <w:multiLevelType w:val="multilevel"/>
    <w:tmpl w:val="D37E199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6C52B2"/>
    <w:multiLevelType w:val="multilevel"/>
    <w:tmpl w:val="6DF00B92"/>
    <w:lvl w:ilvl="0">
      <w:start w:val="1"/>
      <w:numFmt w:val="upperRoman"/>
      <w:lvlText w:val="%1 -"/>
      <w:lvlJc w:val="left"/>
      <w:pPr>
        <w:ind w:left="360" w:hanging="360"/>
      </w:pPr>
      <w:rPr>
        <w:b/>
        <w:color w:val="000000"/>
        <w:vertAlign w:val="baseline"/>
      </w:rPr>
    </w:lvl>
    <w:lvl w:ilvl="1">
      <w:start w:val="1"/>
      <w:numFmt w:val="lowerRoman"/>
      <w:lvlText w:val="%2)"/>
      <w:lvlJc w:val="left"/>
      <w:pPr>
        <w:ind w:left="720" w:hanging="360"/>
      </w:pPr>
      <w:rPr>
        <w:b/>
        <w:vertAlign w:val="baseline"/>
      </w:rPr>
    </w:lvl>
    <w:lvl w:ilvl="2">
      <w:start w:val="1"/>
      <w:numFmt w:val="lowerLetter"/>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72B84DE1"/>
    <w:multiLevelType w:val="hybridMultilevel"/>
    <w:tmpl w:val="E26A964E"/>
    <w:lvl w:ilvl="0" w:tplc="DC2E82F8">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7AE5EE">
      <w:start w:val="1"/>
      <w:numFmt w:val="lowerLetter"/>
      <w:lvlText w:val="%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DADAAA">
      <w:start w:val="1"/>
      <w:numFmt w:val="lowerRoman"/>
      <w:lvlText w:val="%3"/>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EF6E8">
      <w:start w:val="1"/>
      <w:numFmt w:val="decimal"/>
      <w:lvlText w:val="%4"/>
      <w:lvlJc w:val="left"/>
      <w:pPr>
        <w:ind w:left="2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F217FA">
      <w:start w:val="1"/>
      <w:numFmt w:val="lowerLetter"/>
      <w:lvlText w:val="%5"/>
      <w:lvlJc w:val="left"/>
      <w:pPr>
        <w:ind w:left="3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8D5B2">
      <w:start w:val="1"/>
      <w:numFmt w:val="lowerRoman"/>
      <w:lvlText w:val="%6"/>
      <w:lvlJc w:val="left"/>
      <w:pPr>
        <w:ind w:left="4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0CC16">
      <w:start w:val="1"/>
      <w:numFmt w:val="decimal"/>
      <w:lvlText w:val="%7"/>
      <w:lvlJc w:val="left"/>
      <w:pPr>
        <w:ind w:left="4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9618">
      <w:start w:val="1"/>
      <w:numFmt w:val="lowerLetter"/>
      <w:lvlText w:val="%8"/>
      <w:lvlJc w:val="left"/>
      <w:pPr>
        <w:ind w:left="5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06D48">
      <w:start w:val="1"/>
      <w:numFmt w:val="lowerRoman"/>
      <w:lvlText w:val="%9"/>
      <w:lvlJc w:val="left"/>
      <w:pPr>
        <w:ind w:left="6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5318AE"/>
    <w:multiLevelType w:val="hybridMultilevel"/>
    <w:tmpl w:val="2506D7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A465AB"/>
    <w:multiLevelType w:val="hybridMultilevel"/>
    <w:tmpl w:val="4C90A6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76C66B6F"/>
    <w:multiLevelType w:val="hybridMultilevel"/>
    <w:tmpl w:val="929A8EA0"/>
    <w:lvl w:ilvl="0" w:tplc="1EC609DC">
      <w:start w:val="1"/>
      <w:numFmt w:val="decimal"/>
      <w:lvlText w:val="%1)"/>
      <w:lvlJc w:val="left"/>
      <w:pPr>
        <w:ind w:left="30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76FF5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025E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281E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ACC5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AA5F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E58DA">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A88CE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EEA4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num>
  <w:num w:numId="3">
    <w:abstractNumId w:val="15"/>
  </w:num>
  <w:num w:numId="4">
    <w:abstractNumId w:val="1"/>
  </w:num>
  <w:num w:numId="5">
    <w:abstractNumId w:val="10"/>
  </w:num>
  <w:num w:numId="6">
    <w:abstractNumId w:val="11"/>
  </w:num>
  <w:num w:numId="7">
    <w:abstractNumId w:val="3"/>
  </w:num>
  <w:num w:numId="8">
    <w:abstractNumId w:val="20"/>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7"/>
  </w:num>
  <w:num w:numId="15">
    <w:abstractNumId w:val="13"/>
  </w:num>
  <w:num w:numId="16">
    <w:abstractNumId w:val="16"/>
  </w:num>
  <w:num w:numId="17">
    <w:abstractNumId w:val="6"/>
  </w:num>
  <w:num w:numId="18">
    <w:abstractNumId w:val="7"/>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4"/>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05"/>
    <w:rsid w:val="00084955"/>
    <w:rsid w:val="000A258C"/>
    <w:rsid w:val="000B31B3"/>
    <w:rsid w:val="000C60A7"/>
    <w:rsid w:val="000D5107"/>
    <w:rsid w:val="000F49F7"/>
    <w:rsid w:val="001443C3"/>
    <w:rsid w:val="00166652"/>
    <w:rsid w:val="001752AD"/>
    <w:rsid w:val="001A3041"/>
    <w:rsid w:val="001D6FE7"/>
    <w:rsid w:val="001D79BD"/>
    <w:rsid w:val="002059CF"/>
    <w:rsid w:val="002111CC"/>
    <w:rsid w:val="00214D53"/>
    <w:rsid w:val="002166B5"/>
    <w:rsid w:val="0026161F"/>
    <w:rsid w:val="00273F05"/>
    <w:rsid w:val="00277F2A"/>
    <w:rsid w:val="002904A4"/>
    <w:rsid w:val="002A4695"/>
    <w:rsid w:val="0032356D"/>
    <w:rsid w:val="00330B75"/>
    <w:rsid w:val="00353CB0"/>
    <w:rsid w:val="0035645A"/>
    <w:rsid w:val="00380083"/>
    <w:rsid w:val="00386992"/>
    <w:rsid w:val="003B24D1"/>
    <w:rsid w:val="003C6A0F"/>
    <w:rsid w:val="003E4859"/>
    <w:rsid w:val="00424AF0"/>
    <w:rsid w:val="00437A63"/>
    <w:rsid w:val="00472BD7"/>
    <w:rsid w:val="004914E3"/>
    <w:rsid w:val="004A558B"/>
    <w:rsid w:val="004B0450"/>
    <w:rsid w:val="004B4901"/>
    <w:rsid w:val="004C461B"/>
    <w:rsid w:val="004E1741"/>
    <w:rsid w:val="004F217E"/>
    <w:rsid w:val="00502128"/>
    <w:rsid w:val="00510D2A"/>
    <w:rsid w:val="00526306"/>
    <w:rsid w:val="0053401E"/>
    <w:rsid w:val="00535ABE"/>
    <w:rsid w:val="00541CD7"/>
    <w:rsid w:val="00544E67"/>
    <w:rsid w:val="0054635B"/>
    <w:rsid w:val="005513D0"/>
    <w:rsid w:val="00564207"/>
    <w:rsid w:val="005A5A3B"/>
    <w:rsid w:val="005B3F58"/>
    <w:rsid w:val="005C0163"/>
    <w:rsid w:val="005C035E"/>
    <w:rsid w:val="005D208C"/>
    <w:rsid w:val="005E2235"/>
    <w:rsid w:val="005E5483"/>
    <w:rsid w:val="006024D9"/>
    <w:rsid w:val="00614C5B"/>
    <w:rsid w:val="006208A0"/>
    <w:rsid w:val="0062182C"/>
    <w:rsid w:val="0064541D"/>
    <w:rsid w:val="00656C50"/>
    <w:rsid w:val="00662720"/>
    <w:rsid w:val="00664973"/>
    <w:rsid w:val="006C396E"/>
    <w:rsid w:val="006D3125"/>
    <w:rsid w:val="006D52B6"/>
    <w:rsid w:val="006E5B53"/>
    <w:rsid w:val="007030CA"/>
    <w:rsid w:val="00715872"/>
    <w:rsid w:val="007270D0"/>
    <w:rsid w:val="00761800"/>
    <w:rsid w:val="00771049"/>
    <w:rsid w:val="00782108"/>
    <w:rsid w:val="00785541"/>
    <w:rsid w:val="00794915"/>
    <w:rsid w:val="007A6609"/>
    <w:rsid w:val="007C3913"/>
    <w:rsid w:val="0082255F"/>
    <w:rsid w:val="00845B64"/>
    <w:rsid w:val="00846B12"/>
    <w:rsid w:val="00862747"/>
    <w:rsid w:val="00880D4B"/>
    <w:rsid w:val="008879B6"/>
    <w:rsid w:val="0089192B"/>
    <w:rsid w:val="008A73DC"/>
    <w:rsid w:val="008B645B"/>
    <w:rsid w:val="008E6B15"/>
    <w:rsid w:val="009055B4"/>
    <w:rsid w:val="009265C2"/>
    <w:rsid w:val="00934797"/>
    <w:rsid w:val="00946F11"/>
    <w:rsid w:val="0095057B"/>
    <w:rsid w:val="00977231"/>
    <w:rsid w:val="009A2347"/>
    <w:rsid w:val="009A75AD"/>
    <w:rsid w:val="009F4DE6"/>
    <w:rsid w:val="00A11791"/>
    <w:rsid w:val="00A13C7C"/>
    <w:rsid w:val="00A43A2F"/>
    <w:rsid w:val="00A4732B"/>
    <w:rsid w:val="00A90265"/>
    <w:rsid w:val="00AB1F65"/>
    <w:rsid w:val="00AB3529"/>
    <w:rsid w:val="00AC4AFA"/>
    <w:rsid w:val="00AF5B4C"/>
    <w:rsid w:val="00B14B6A"/>
    <w:rsid w:val="00B31243"/>
    <w:rsid w:val="00B531CA"/>
    <w:rsid w:val="00B9480B"/>
    <w:rsid w:val="00BD4DEA"/>
    <w:rsid w:val="00BE2DE9"/>
    <w:rsid w:val="00BF47E6"/>
    <w:rsid w:val="00C31FE2"/>
    <w:rsid w:val="00C63EB1"/>
    <w:rsid w:val="00C71549"/>
    <w:rsid w:val="00C7744A"/>
    <w:rsid w:val="00C94305"/>
    <w:rsid w:val="00CE3640"/>
    <w:rsid w:val="00CF0FB6"/>
    <w:rsid w:val="00CF2848"/>
    <w:rsid w:val="00D0324F"/>
    <w:rsid w:val="00D155FB"/>
    <w:rsid w:val="00D577D1"/>
    <w:rsid w:val="00D66FD0"/>
    <w:rsid w:val="00DA4DA5"/>
    <w:rsid w:val="00DB0E49"/>
    <w:rsid w:val="00DD419D"/>
    <w:rsid w:val="00DF578F"/>
    <w:rsid w:val="00E2556E"/>
    <w:rsid w:val="00E30FDD"/>
    <w:rsid w:val="00E41456"/>
    <w:rsid w:val="00E43D64"/>
    <w:rsid w:val="00E71D75"/>
    <w:rsid w:val="00E773B4"/>
    <w:rsid w:val="00EA00CD"/>
    <w:rsid w:val="00EA18B8"/>
    <w:rsid w:val="00EB5F3C"/>
    <w:rsid w:val="00EC546F"/>
    <w:rsid w:val="00ED1449"/>
    <w:rsid w:val="00F211C7"/>
    <w:rsid w:val="00F30EE8"/>
    <w:rsid w:val="00F61050"/>
    <w:rsid w:val="00F62ACC"/>
    <w:rsid w:val="00F8689E"/>
    <w:rsid w:val="00F96C58"/>
    <w:rsid w:val="00FA22A0"/>
    <w:rsid w:val="00FC5864"/>
    <w:rsid w:val="00FD6927"/>
    <w:rsid w:val="00FE0721"/>
    <w:rsid w:val="00FF6545"/>
    <w:rsid w:val="00FF6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84B7"/>
  <w15:docId w15:val="{764D2D96-7F84-479D-8BB3-29A09D2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714" w:firstLine="4"/>
      <w:jc w:val="both"/>
    </w:pPr>
    <w:rPr>
      <w:rFonts w:ascii="Calibri" w:eastAsia="Calibri" w:hAnsi="Calibri" w:cs="Calibri"/>
      <w:color w:val="000000"/>
      <w:sz w:val="18"/>
    </w:rPr>
  </w:style>
  <w:style w:type="paragraph" w:styleId="Ttulo1">
    <w:name w:val="heading 1"/>
    <w:next w:val="Normal"/>
    <w:link w:val="Ttulo1Char"/>
    <w:qFormat/>
    <w:pPr>
      <w:keepNext/>
      <w:keepLines/>
      <w:spacing w:after="0" w:line="265" w:lineRule="auto"/>
      <w:ind w:left="10" w:right="50" w:hanging="10"/>
      <w:jc w:val="center"/>
      <w:outlineLvl w:val="0"/>
    </w:pPr>
    <w:rPr>
      <w:rFonts w:ascii="Calibri" w:eastAsia="Calibri" w:hAnsi="Calibri" w:cs="Calibri"/>
      <w:color w:val="000000"/>
      <w:u w:val="single" w:color="000000"/>
    </w:rPr>
  </w:style>
  <w:style w:type="paragraph" w:styleId="Ttulo2">
    <w:name w:val="heading 2"/>
    <w:next w:val="Normal"/>
    <w:link w:val="Ttulo2Char"/>
    <w:unhideWhenUsed/>
    <w:qFormat/>
    <w:pPr>
      <w:keepNext/>
      <w:keepLines/>
      <w:spacing w:after="0" w:line="265" w:lineRule="auto"/>
      <w:ind w:left="1724" w:hanging="10"/>
      <w:jc w:val="center"/>
      <w:outlineLvl w:val="1"/>
    </w:pPr>
    <w:rPr>
      <w:rFonts w:ascii="Calibri" w:eastAsia="Calibri" w:hAnsi="Calibri" w:cs="Calibri"/>
      <w:color w:val="000000"/>
      <w:sz w:val="18"/>
    </w:rPr>
  </w:style>
  <w:style w:type="paragraph" w:styleId="Ttulo3">
    <w:name w:val="heading 3"/>
    <w:next w:val="Normal"/>
    <w:link w:val="Ttulo3Char"/>
    <w:uiPriority w:val="9"/>
    <w:unhideWhenUsed/>
    <w:qFormat/>
    <w:pPr>
      <w:keepNext/>
      <w:keepLines/>
      <w:spacing w:after="0" w:line="265" w:lineRule="auto"/>
      <w:ind w:left="1724" w:hanging="10"/>
      <w:jc w:val="center"/>
      <w:outlineLvl w:val="2"/>
    </w:pPr>
    <w:rPr>
      <w:rFonts w:ascii="Calibri" w:eastAsia="Calibri" w:hAnsi="Calibri" w:cs="Calibri"/>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color w:val="000000"/>
      <w:sz w:val="18"/>
    </w:rPr>
  </w:style>
  <w:style w:type="character" w:customStyle="1" w:styleId="Ttulo1Char">
    <w:name w:val="Título 1 Char"/>
    <w:link w:val="Ttulo1"/>
    <w:rPr>
      <w:rFonts w:ascii="Calibri" w:eastAsia="Calibri" w:hAnsi="Calibri" w:cs="Calibri"/>
      <w:color w:val="000000"/>
      <w:sz w:val="22"/>
      <w:u w:val="single" w:color="000000"/>
    </w:rPr>
  </w:style>
  <w:style w:type="character" w:customStyle="1" w:styleId="Ttulo2Char">
    <w:name w:val="Título 2 Char"/>
    <w:link w:val="Ttulo2"/>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F30EE8"/>
    <w:pPr>
      <w:tabs>
        <w:tab w:val="center" w:pos="4252"/>
        <w:tab w:val="right" w:pos="8504"/>
      </w:tabs>
      <w:spacing w:after="0" w:line="240" w:lineRule="auto"/>
    </w:pPr>
  </w:style>
  <w:style w:type="character" w:customStyle="1" w:styleId="CabealhoChar">
    <w:name w:val="Cabeçalho Char"/>
    <w:basedOn w:val="Fontepargpadro"/>
    <w:link w:val="Cabealho"/>
    <w:rsid w:val="00F30EE8"/>
    <w:rPr>
      <w:rFonts w:ascii="Calibri" w:eastAsia="Calibri" w:hAnsi="Calibri" w:cs="Calibri"/>
      <w:color w:val="000000"/>
      <w:sz w:val="18"/>
    </w:rPr>
  </w:style>
  <w:style w:type="paragraph" w:styleId="PargrafodaLista">
    <w:name w:val="List Paragraph"/>
    <w:basedOn w:val="Normal"/>
    <w:uiPriority w:val="34"/>
    <w:qFormat/>
    <w:rsid w:val="00656C50"/>
    <w:pPr>
      <w:ind w:left="720"/>
      <w:contextualSpacing/>
    </w:pPr>
  </w:style>
  <w:style w:type="table" w:styleId="Tabelacomgrade">
    <w:name w:val="Table Grid"/>
    <w:basedOn w:val="Tabelanormal"/>
    <w:rsid w:val="00DA4D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_01"/>
    <w:basedOn w:val="Ttulo1"/>
    <w:qFormat/>
    <w:rsid w:val="003C6A0F"/>
    <w:pPr>
      <w:numPr>
        <w:numId w:val="6"/>
      </w:numPr>
      <w:tabs>
        <w:tab w:val="left" w:pos="567"/>
      </w:tabs>
      <w:spacing w:before="240" w:line="240" w:lineRule="auto"/>
      <w:ind w:left="360" w:right="0" w:hanging="10"/>
      <w:jc w:val="both"/>
    </w:pPr>
    <w:rPr>
      <w:rFonts w:ascii="Ecofont_Spranq_eco_Sans" w:eastAsia="MS Gothic" w:hAnsi="Ecofont_Spranq_eco_Sans" w:cs="Times New Roman"/>
      <w:b/>
      <w:bCs/>
      <w:color w:val="auto"/>
      <w:sz w:val="20"/>
      <w:szCs w:val="20"/>
      <w:u w:val="none"/>
    </w:rPr>
  </w:style>
  <w:style w:type="paragraph" w:customStyle="1" w:styleId="Nivel1">
    <w:name w:val="Nivel1"/>
    <w:basedOn w:val="Ttulo1"/>
    <w:next w:val="Normal"/>
    <w:link w:val="Nivel1Char"/>
    <w:qFormat/>
    <w:rsid w:val="000C60A7"/>
    <w:pPr>
      <w:numPr>
        <w:numId w:val="7"/>
      </w:numPr>
      <w:spacing w:before="480" w:after="120" w:line="276" w:lineRule="auto"/>
      <w:ind w:right="0"/>
      <w:jc w:val="both"/>
    </w:pPr>
    <w:rPr>
      <w:rFonts w:ascii="Arial" w:eastAsia="MS Gothic" w:hAnsi="Arial" w:cs="Arial"/>
      <w:b/>
      <w:sz w:val="20"/>
      <w:szCs w:val="20"/>
      <w:u w:val="none"/>
    </w:rPr>
  </w:style>
  <w:style w:type="table" w:customStyle="1" w:styleId="Tabelacomgrade1">
    <w:name w:val="Tabela com grade1"/>
    <w:basedOn w:val="Tabelanormal"/>
    <w:next w:val="Tabelacomgrade"/>
    <w:rsid w:val="000C60A7"/>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8879B6"/>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879B6"/>
  </w:style>
  <w:style w:type="paragraph" w:styleId="NormalWeb">
    <w:name w:val="Normal (Web)"/>
    <w:basedOn w:val="Normal"/>
    <w:uiPriority w:val="99"/>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0"/>
      <w:szCs w:val="24"/>
    </w:rPr>
  </w:style>
  <w:style w:type="paragraph" w:styleId="Textodebalo">
    <w:name w:val="Balloon Text"/>
    <w:basedOn w:val="Normal"/>
    <w:link w:val="TextodebaloChar"/>
    <w:rsid w:val="008879B6"/>
    <w:pPr>
      <w:spacing w:after="0" w:line="240" w:lineRule="auto"/>
      <w:ind w:left="0" w:firstLine="0"/>
      <w:jc w:val="left"/>
    </w:pPr>
    <w:rPr>
      <w:rFonts w:ascii="Tahoma" w:eastAsia="Times New Roman" w:hAnsi="Tahoma" w:cs="Times New Roman"/>
      <w:color w:val="auto"/>
      <w:sz w:val="16"/>
      <w:szCs w:val="16"/>
      <w:lang w:val="x-none" w:eastAsia="x-none"/>
    </w:rPr>
  </w:style>
  <w:style w:type="character" w:customStyle="1" w:styleId="TextodebaloChar">
    <w:name w:val="Texto de balão Char"/>
    <w:basedOn w:val="Fontepargpadro"/>
    <w:link w:val="Textodebalo"/>
    <w:rsid w:val="008879B6"/>
    <w:rPr>
      <w:rFonts w:ascii="Tahoma" w:eastAsia="Times New Roman" w:hAnsi="Tahoma" w:cs="Times New Roman"/>
      <w:sz w:val="16"/>
      <w:szCs w:val="16"/>
      <w:lang w:val="x-none" w:eastAsia="x-none"/>
    </w:rPr>
  </w:style>
  <w:style w:type="paragraph" w:customStyle="1" w:styleId="Nvel2">
    <w:name w:val="Nível 2"/>
    <w:basedOn w:val="Normal"/>
    <w:next w:val="Normal"/>
    <w:rsid w:val="008879B6"/>
    <w:pPr>
      <w:spacing w:after="120" w:line="240" w:lineRule="auto"/>
      <w:ind w:left="0" w:firstLine="0"/>
    </w:pPr>
    <w:rPr>
      <w:rFonts w:ascii="Arial" w:eastAsia="Times New Roman" w:hAnsi="Arial" w:cs="Times New Roman"/>
      <w:b/>
      <w:color w:val="auto"/>
      <w:sz w:val="20"/>
      <w:szCs w:val="20"/>
    </w:rPr>
  </w:style>
  <w:style w:type="character" w:customStyle="1" w:styleId="normalchar1">
    <w:name w:val="normal__char1"/>
    <w:rsid w:val="008879B6"/>
    <w:rPr>
      <w:rFonts w:ascii="Arial" w:hAnsi="Arial" w:cs="Arial" w:hint="default"/>
      <w:strike w:val="0"/>
      <w:dstrike w:val="0"/>
      <w:sz w:val="24"/>
      <w:szCs w:val="24"/>
      <w:u w:val="none"/>
      <w:effect w:val="none"/>
    </w:rPr>
  </w:style>
  <w:style w:type="character" w:customStyle="1" w:styleId="apple-style-span">
    <w:name w:val="apple-style-span"/>
    <w:basedOn w:val="Fontepargpadro"/>
    <w:rsid w:val="008879B6"/>
  </w:style>
  <w:style w:type="character" w:styleId="Hyperlink">
    <w:name w:val="Hyperlink"/>
    <w:uiPriority w:val="99"/>
    <w:rsid w:val="008879B6"/>
    <w:rPr>
      <w:color w:val="000080"/>
      <w:u w:val="single"/>
    </w:rPr>
  </w:style>
  <w:style w:type="paragraph" w:styleId="Citao">
    <w:name w:val="Quote"/>
    <w:basedOn w:val="Normal"/>
    <w:next w:val="Normal"/>
    <w:link w:val="Citao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Arial" w:hAnsi="Arial" w:cs="Times New Roman"/>
      <w:i/>
      <w:iCs/>
      <w:sz w:val="20"/>
      <w:szCs w:val="24"/>
      <w:lang w:val="x-none" w:eastAsia="en-US"/>
    </w:rPr>
  </w:style>
  <w:style w:type="character" w:customStyle="1" w:styleId="CitaoChar">
    <w:name w:val="Citação Char"/>
    <w:basedOn w:val="Fontepargpadro"/>
    <w:link w:val="Citao"/>
    <w:uiPriority w:val="29"/>
    <w:rsid w:val="008879B6"/>
    <w:rPr>
      <w:rFonts w:ascii="Arial" w:eastAsia="Calibri" w:hAnsi="Arial" w:cs="Times New Roman"/>
      <w:i/>
      <w:iCs/>
      <w:color w:val="000000"/>
      <w:sz w:val="20"/>
      <w:szCs w:val="24"/>
      <w:shd w:val="clear" w:color="auto" w:fill="FFFFCC"/>
      <w:lang w:val="x-none" w:eastAsia="en-US"/>
    </w:rPr>
  </w:style>
  <w:style w:type="paragraph" w:styleId="Commarcadores5">
    <w:name w:val="List Bullet 5"/>
    <w:basedOn w:val="Normal"/>
    <w:rsid w:val="008879B6"/>
    <w:pPr>
      <w:numPr>
        <w:numId w:val="10"/>
      </w:numPr>
      <w:spacing w:after="0" w:line="240" w:lineRule="auto"/>
      <w:contextualSpacing/>
      <w:jc w:val="left"/>
    </w:pPr>
    <w:rPr>
      <w:rFonts w:ascii="Arial" w:eastAsia="Times New Roman" w:hAnsi="Arial" w:cs="Tahoma"/>
      <w:color w:val="auto"/>
      <w:sz w:val="20"/>
      <w:szCs w:val="24"/>
    </w:rPr>
  </w:style>
  <w:style w:type="paragraph" w:customStyle="1" w:styleId="citao2">
    <w:name w:val="citação 2"/>
    <w:basedOn w:val="Citao"/>
    <w:link w:val="citao2Char"/>
    <w:qFormat/>
    <w:rsid w:val="008879B6"/>
    <w:rPr>
      <w:szCs w:val="20"/>
    </w:rPr>
  </w:style>
  <w:style w:type="character" w:customStyle="1" w:styleId="citao2Char">
    <w:name w:val="citação 2 Char"/>
    <w:basedOn w:val="CitaoChar"/>
    <w:link w:val="citao2"/>
    <w:rsid w:val="008879B6"/>
    <w:rPr>
      <w:rFonts w:ascii="Arial" w:eastAsia="Calibri" w:hAnsi="Arial" w:cs="Times New Roman"/>
      <w:i/>
      <w:iCs/>
      <w:color w:val="000000"/>
      <w:sz w:val="20"/>
      <w:szCs w:val="20"/>
      <w:shd w:val="clear" w:color="auto" w:fill="FFFFCC"/>
      <w:lang w:val="x-none" w:eastAsia="en-US"/>
    </w:rPr>
  </w:style>
  <w:style w:type="character" w:styleId="Refdecomentrio">
    <w:name w:val="annotation reference"/>
    <w:basedOn w:val="Fontepargpadro"/>
    <w:uiPriority w:val="99"/>
    <w:semiHidden/>
    <w:unhideWhenUsed/>
    <w:rsid w:val="008879B6"/>
    <w:rPr>
      <w:sz w:val="16"/>
      <w:szCs w:val="16"/>
    </w:rPr>
  </w:style>
  <w:style w:type="paragraph" w:styleId="Textodecomentrio">
    <w:name w:val="annotation text"/>
    <w:basedOn w:val="Normal"/>
    <w:link w:val="TextodecomentrioChar"/>
    <w:uiPriority w:val="99"/>
    <w:unhideWhenUsed/>
    <w:rsid w:val="008879B6"/>
    <w:pPr>
      <w:spacing w:after="0" w:line="240" w:lineRule="auto"/>
      <w:ind w:left="0" w:firstLine="0"/>
      <w:jc w:val="left"/>
    </w:pPr>
    <w:rPr>
      <w:rFonts w:ascii="Arial" w:eastAsia="Times New Roman" w:hAnsi="Arial" w:cs="Tahoma"/>
      <w:color w:val="auto"/>
      <w:sz w:val="20"/>
      <w:szCs w:val="20"/>
    </w:rPr>
  </w:style>
  <w:style w:type="character" w:customStyle="1" w:styleId="TextodecomentrioChar">
    <w:name w:val="Texto de comentário Char"/>
    <w:basedOn w:val="Fontepargpadro"/>
    <w:link w:val="Textodecomentrio"/>
    <w:uiPriority w:val="99"/>
    <w:rsid w:val="008879B6"/>
    <w:rPr>
      <w:rFonts w:ascii="Arial" w:eastAsia="Times New Roman" w:hAnsi="Arial" w:cs="Tahoma"/>
      <w:sz w:val="20"/>
      <w:szCs w:val="20"/>
    </w:rPr>
  </w:style>
  <w:style w:type="paragraph" w:styleId="Assuntodocomentrio">
    <w:name w:val="annotation subject"/>
    <w:basedOn w:val="Textodecomentrio"/>
    <w:next w:val="Textodecomentrio"/>
    <w:link w:val="AssuntodocomentrioChar"/>
    <w:semiHidden/>
    <w:unhideWhenUsed/>
    <w:rsid w:val="008879B6"/>
    <w:rPr>
      <w:b/>
      <w:bCs/>
    </w:rPr>
  </w:style>
  <w:style w:type="character" w:customStyle="1" w:styleId="AssuntodocomentrioChar">
    <w:name w:val="Assunto do comentário Char"/>
    <w:basedOn w:val="TextodecomentrioChar"/>
    <w:link w:val="Assuntodocomentrio"/>
    <w:semiHidden/>
    <w:rsid w:val="008879B6"/>
    <w:rPr>
      <w:rFonts w:ascii="Arial" w:eastAsia="Times New Roman" w:hAnsi="Arial" w:cs="Tahoma"/>
      <w:b/>
      <w:bCs/>
      <w:sz w:val="20"/>
      <w:szCs w:val="20"/>
    </w:rPr>
  </w:style>
  <w:style w:type="character" w:styleId="TextodoEspaoReservado">
    <w:name w:val="Placeholder Text"/>
    <w:basedOn w:val="Fontepargpadro"/>
    <w:uiPriority w:val="99"/>
    <w:semiHidden/>
    <w:rsid w:val="008879B6"/>
    <w:rPr>
      <w:color w:val="808080"/>
    </w:rPr>
  </w:style>
  <w:style w:type="paragraph" w:styleId="Rodap">
    <w:name w:val="footer"/>
    <w:basedOn w:val="Normal"/>
    <w:link w:val="RodapChar"/>
    <w:uiPriority w:val="99"/>
    <w:unhideWhenUsed/>
    <w:rsid w:val="008879B6"/>
    <w:pPr>
      <w:tabs>
        <w:tab w:val="center" w:pos="4252"/>
        <w:tab w:val="right" w:pos="8504"/>
      </w:tabs>
      <w:spacing w:after="0" w:line="240" w:lineRule="auto"/>
      <w:ind w:left="0" w:firstLine="0"/>
      <w:jc w:val="left"/>
    </w:pPr>
    <w:rPr>
      <w:rFonts w:ascii="Arial" w:eastAsia="Times New Roman" w:hAnsi="Arial" w:cs="Tahoma"/>
      <w:color w:val="auto"/>
      <w:sz w:val="20"/>
      <w:szCs w:val="24"/>
    </w:rPr>
  </w:style>
  <w:style w:type="character" w:customStyle="1" w:styleId="RodapChar">
    <w:name w:val="Rodapé Char"/>
    <w:basedOn w:val="Fontepargpadro"/>
    <w:link w:val="Rodap"/>
    <w:uiPriority w:val="99"/>
    <w:rsid w:val="008879B6"/>
    <w:rPr>
      <w:rFonts w:ascii="Arial" w:eastAsia="Times New Roman" w:hAnsi="Arial" w:cs="Tahoma"/>
      <w:sz w:val="20"/>
      <w:szCs w:val="24"/>
    </w:rPr>
  </w:style>
  <w:style w:type="character" w:customStyle="1" w:styleId="Nivel1Char">
    <w:name w:val="Nivel1 Char"/>
    <w:basedOn w:val="Ttulo1Char"/>
    <w:link w:val="Nivel1"/>
    <w:rsid w:val="008879B6"/>
    <w:rPr>
      <w:rFonts w:ascii="Arial" w:eastAsia="MS Gothic" w:hAnsi="Arial" w:cs="Arial"/>
      <w:b/>
      <w:color w:val="000000"/>
      <w:sz w:val="20"/>
      <w:szCs w:val="20"/>
      <w:u w:val="single" w:color="000000"/>
    </w:rPr>
  </w:style>
  <w:style w:type="paragraph" w:styleId="Reviso">
    <w:name w:val="Revision"/>
    <w:hidden/>
    <w:uiPriority w:val="99"/>
    <w:semiHidden/>
    <w:rsid w:val="008879B6"/>
    <w:pPr>
      <w:spacing w:after="0" w:line="240" w:lineRule="auto"/>
    </w:pPr>
    <w:rPr>
      <w:rFonts w:ascii="Arial" w:eastAsia="Times New Roman" w:hAnsi="Arial" w:cs="Tahoma"/>
      <w:sz w:val="20"/>
      <w:szCs w:val="24"/>
    </w:rPr>
  </w:style>
  <w:style w:type="paragraph" w:customStyle="1" w:styleId="PargrafodaLista1">
    <w:name w:val="Parágrafo da Lista1"/>
    <w:basedOn w:val="Normal"/>
    <w:qFormat/>
    <w:rsid w:val="008879B6"/>
    <w:pPr>
      <w:spacing w:after="0" w:line="240" w:lineRule="auto"/>
      <w:ind w:left="720" w:firstLine="0"/>
      <w:jc w:val="left"/>
    </w:pPr>
    <w:rPr>
      <w:rFonts w:ascii="Ecofont_Spranq_eco_Sans" w:eastAsia="Times New Roman" w:hAnsi="Ecofont_Spranq_eco_Sans" w:cs="Ecofont_Spranq_eco_Sans"/>
      <w:color w:val="auto"/>
      <w:sz w:val="24"/>
      <w:szCs w:val="24"/>
    </w:rPr>
  </w:style>
  <w:style w:type="paragraph" w:customStyle="1" w:styleId="Citao1">
    <w:name w:val="Citação1"/>
    <w:basedOn w:val="Normal"/>
    <w:next w:val="Normal"/>
    <w:link w:val="QuoteChar"/>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 w:val="24"/>
      <w:szCs w:val="24"/>
      <w:shd w:val="clear" w:color="auto" w:fill="FFFFCC"/>
      <w:lang w:eastAsia="en-US"/>
    </w:rPr>
  </w:style>
  <w:style w:type="character" w:customStyle="1" w:styleId="QuoteChar">
    <w:name w:val="Quote Char"/>
    <w:link w:val="Citao1"/>
    <w:rsid w:val="008879B6"/>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8879B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hAnsi="Ecofont_Spranq_eco_Sans" w:cs="Tahoma"/>
      <w:i/>
      <w:iCs/>
      <w:sz w:val="20"/>
      <w:szCs w:val="24"/>
      <w:lang w:eastAsia="zh-CN"/>
    </w:rPr>
  </w:style>
  <w:style w:type="character" w:customStyle="1" w:styleId="apple-converted-space">
    <w:name w:val="apple-converted-space"/>
    <w:basedOn w:val="Fontepargpadro"/>
    <w:rsid w:val="008879B6"/>
  </w:style>
  <w:style w:type="character" w:customStyle="1" w:styleId="Nivel01Char">
    <w:name w:val="Nivel 01 Char"/>
    <w:basedOn w:val="Fontepargpadro"/>
    <w:link w:val="Nivel010"/>
    <w:locked/>
    <w:rsid w:val="008879B6"/>
    <w:rPr>
      <w:rFonts w:ascii="Arial" w:eastAsia="MS Gothic" w:hAnsi="Arial" w:cs="Times New Roman"/>
      <w:b/>
      <w:bCs/>
      <w:color w:val="000000"/>
      <w:sz w:val="32"/>
      <w:szCs w:val="32"/>
    </w:rPr>
  </w:style>
  <w:style w:type="paragraph" w:customStyle="1" w:styleId="Nivel010">
    <w:name w:val="Nivel 01"/>
    <w:basedOn w:val="Ttulo1"/>
    <w:next w:val="Normal"/>
    <w:link w:val="Nivel01Char"/>
    <w:qFormat/>
    <w:rsid w:val="008879B6"/>
    <w:pPr>
      <w:spacing w:before="480" w:after="120" w:line="276" w:lineRule="auto"/>
      <w:ind w:left="360" w:right="-15" w:hanging="360"/>
      <w:jc w:val="both"/>
    </w:pPr>
    <w:rPr>
      <w:rFonts w:ascii="Arial" w:eastAsia="MS Gothic" w:hAnsi="Arial" w:cs="Times New Roman"/>
      <w:b/>
      <w:bCs/>
      <w:sz w:val="32"/>
      <w:szCs w:val="32"/>
      <w:u w:val="none"/>
    </w:rPr>
  </w:style>
  <w:style w:type="paragraph" w:customStyle="1" w:styleId="textojustificado">
    <w:name w:val="texto_justificado"/>
    <w:basedOn w:val="Normal"/>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elacomgrade3">
    <w:name w:val="Tabela com grade3"/>
    <w:basedOn w:val="Tabelanormal"/>
    <w:next w:val="Tabelacomgrade"/>
    <w:rsid w:val="008879B6"/>
    <w:pPr>
      <w:spacing w:after="0" w:line="240" w:lineRule="auto"/>
    </w:pPr>
    <w:rPr>
      <w:rFonts w:ascii="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879B6"/>
    <w:rPr>
      <w:b/>
      <w:bCs/>
    </w:rPr>
  </w:style>
  <w:style w:type="character" w:customStyle="1" w:styleId="GradeColorida-nfase1Char">
    <w:name w:val="Grade Colorida - Ênfase 1 Char"/>
    <w:link w:val="GradeColorida-nfase11"/>
    <w:rsid w:val="008879B6"/>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hAnsi="Ecofont_Spranq_eco_Sans" w:cs="Ecofont_Spranq_eco_Sans"/>
      <w:i/>
      <w:iCs/>
      <w:sz w:val="22"/>
      <w:szCs w:val="24"/>
      <w:lang w:val="x-none"/>
    </w:rPr>
  </w:style>
  <w:style w:type="character" w:customStyle="1" w:styleId="WW8Num2z1">
    <w:name w:val="WW8Num2z1"/>
    <w:rsid w:val="008879B6"/>
    <w:rPr>
      <w:i w:val="0"/>
    </w:rPr>
  </w:style>
  <w:style w:type="paragraph" w:customStyle="1" w:styleId="PargrafodaLista2">
    <w:name w:val="Parágrafo da Lista2"/>
    <w:basedOn w:val="Normal"/>
    <w:rsid w:val="008879B6"/>
    <w:pPr>
      <w:spacing w:after="0" w:line="240" w:lineRule="auto"/>
      <w:ind w:left="720" w:firstLine="0"/>
      <w:jc w:val="left"/>
    </w:pPr>
    <w:rPr>
      <w:rFonts w:ascii="Ecofont_Spranq_eco_Sans" w:eastAsia="Times New Roman" w:hAnsi="Ecofont_Spranq_eco_Sans" w:cs="Tahoma"/>
      <w:color w:val="auto"/>
      <w:sz w:val="24"/>
      <w:szCs w:val="24"/>
    </w:rPr>
  </w:style>
  <w:style w:type="paragraph" w:customStyle="1" w:styleId="GradeColorida-nfase110">
    <w:name w:val="Grade Colorida - Ênfase 110"/>
    <w:basedOn w:val="Normal"/>
    <w:next w:val="Normal"/>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 w:val="24"/>
      <w:szCs w:val="24"/>
      <w:lang w:eastAsia="en-US"/>
    </w:rPr>
  </w:style>
  <w:style w:type="character" w:styleId="nfase">
    <w:name w:val="Emphasis"/>
    <w:basedOn w:val="Fontepargpadro"/>
    <w:uiPriority w:val="20"/>
    <w:qFormat/>
    <w:rsid w:val="008879B6"/>
    <w:rPr>
      <w:i/>
      <w:iCs/>
    </w:rPr>
  </w:style>
  <w:style w:type="paragraph" w:customStyle="1" w:styleId="Nivel2">
    <w:name w:val="Nivel 2"/>
    <w:link w:val="Nivel2Char"/>
    <w:qFormat/>
    <w:rsid w:val="008879B6"/>
    <w:pPr>
      <w:numPr>
        <w:ilvl w:val="1"/>
        <w:numId w:val="12"/>
      </w:numPr>
      <w:spacing w:before="120" w:after="120" w:line="276" w:lineRule="auto"/>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8879B6"/>
    <w:pPr>
      <w:numPr>
        <w:ilvl w:val="0"/>
      </w:numPr>
      <w:tabs>
        <w:tab w:val="num" w:pos="360"/>
      </w:tabs>
      <w:ind w:left="644" w:hanging="432"/>
    </w:pPr>
    <w:rPr>
      <w:rFonts w:cs="Arial"/>
      <w:b/>
    </w:rPr>
  </w:style>
  <w:style w:type="paragraph" w:customStyle="1" w:styleId="Nivel3">
    <w:name w:val="Nivel 3"/>
    <w:basedOn w:val="Nivel2"/>
    <w:qFormat/>
    <w:rsid w:val="008879B6"/>
    <w:pPr>
      <w:numPr>
        <w:ilvl w:val="2"/>
      </w:numPr>
      <w:tabs>
        <w:tab w:val="num" w:pos="360"/>
      </w:tabs>
      <w:ind w:left="1922"/>
    </w:pPr>
    <w:rPr>
      <w:rFonts w:cs="Arial"/>
      <w:color w:val="000000"/>
    </w:rPr>
  </w:style>
  <w:style w:type="paragraph" w:customStyle="1" w:styleId="Nivel4">
    <w:name w:val="Nivel 4"/>
    <w:basedOn w:val="Nivel3"/>
    <w:qFormat/>
    <w:rsid w:val="008879B6"/>
    <w:pPr>
      <w:numPr>
        <w:ilvl w:val="3"/>
      </w:numPr>
      <w:tabs>
        <w:tab w:val="num" w:pos="360"/>
      </w:tabs>
      <w:ind w:left="2491"/>
    </w:pPr>
    <w:rPr>
      <w:color w:val="auto"/>
    </w:rPr>
  </w:style>
  <w:style w:type="paragraph" w:customStyle="1" w:styleId="Nivel5">
    <w:name w:val="Nivel 5"/>
    <w:basedOn w:val="Nivel4"/>
    <w:qFormat/>
    <w:rsid w:val="008879B6"/>
    <w:pPr>
      <w:numPr>
        <w:ilvl w:val="4"/>
      </w:numPr>
      <w:tabs>
        <w:tab w:val="num" w:pos="360"/>
      </w:tabs>
      <w:ind w:left="3485"/>
    </w:pPr>
  </w:style>
  <w:style w:type="character" w:customStyle="1" w:styleId="Nivel2Char">
    <w:name w:val="Nivel 2 Char"/>
    <w:basedOn w:val="Fontepargpadro"/>
    <w:link w:val="Nivel2"/>
    <w:rsid w:val="008879B6"/>
    <w:rPr>
      <w:rFonts w:ascii="Ecofont_Spranq_eco_Sans" w:eastAsia="Arial Unicode MS" w:hAnsi="Ecofont_Spranq_eco_Sans" w:cs="Times New Roman"/>
      <w:sz w:val="20"/>
      <w:szCs w:val="20"/>
    </w:rPr>
  </w:style>
  <w:style w:type="paragraph" w:customStyle="1" w:styleId="PADRO">
    <w:name w:val="PADRÃO"/>
    <w:rsid w:val="008879B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
    <w:name w:val="Body Text Indent"/>
    <w:basedOn w:val="Normal"/>
    <w:link w:val="RecuodecorpodetextoChar"/>
    <w:rsid w:val="005E2235"/>
    <w:pPr>
      <w:spacing w:after="0" w:line="240" w:lineRule="auto"/>
      <w:ind w:left="4253" w:firstLine="0"/>
    </w:pPr>
    <w:rPr>
      <w:rFonts w:ascii="Times New Roman" w:eastAsia="Times New Roman" w:hAnsi="Times New Roman" w:cs="Times New Roman"/>
      <w:color w:val="auto"/>
      <w:sz w:val="28"/>
      <w:szCs w:val="20"/>
    </w:rPr>
  </w:style>
  <w:style w:type="character" w:customStyle="1" w:styleId="RecuodecorpodetextoChar">
    <w:name w:val="Recuo de corpo de texto Char"/>
    <w:basedOn w:val="Fontepargpadro"/>
    <w:link w:val="Recuodecorpodetexto"/>
    <w:rsid w:val="005E2235"/>
    <w:rPr>
      <w:rFonts w:ascii="Times New Roman" w:eastAsia="Times New Roman" w:hAnsi="Times New Roman" w:cs="Times New Roman"/>
      <w:sz w:val="28"/>
      <w:szCs w:val="20"/>
    </w:rPr>
  </w:style>
  <w:style w:type="paragraph" w:styleId="Corpodetexto">
    <w:name w:val="Body Text"/>
    <w:basedOn w:val="Normal"/>
    <w:link w:val="CorpodetextoChar"/>
    <w:uiPriority w:val="99"/>
    <w:unhideWhenUsed/>
    <w:rsid w:val="005E2235"/>
    <w:pPr>
      <w:spacing w:after="120" w:line="276" w:lineRule="auto"/>
      <w:ind w:left="0" w:firstLine="0"/>
      <w:jc w:val="left"/>
    </w:pPr>
    <w:rPr>
      <w:rFonts w:eastAsia="Times New Roman" w:cs="Times New Roman"/>
      <w:color w:val="auto"/>
      <w:sz w:val="22"/>
    </w:rPr>
  </w:style>
  <w:style w:type="character" w:customStyle="1" w:styleId="CorpodetextoChar">
    <w:name w:val="Corpo de texto Char"/>
    <w:basedOn w:val="Fontepargpadro"/>
    <w:link w:val="Corpodetexto"/>
    <w:uiPriority w:val="99"/>
    <w:rsid w:val="005E2235"/>
    <w:rPr>
      <w:rFonts w:ascii="Calibri" w:eastAsia="Times New Roman" w:hAnsi="Calibri" w:cs="Times New Roman"/>
    </w:rPr>
  </w:style>
  <w:style w:type="table" w:customStyle="1" w:styleId="TableGrid1">
    <w:name w:val="TableGrid1"/>
    <w:rsid w:val="002111CC"/>
    <w:pPr>
      <w:spacing w:after="0" w:line="240" w:lineRule="auto"/>
    </w:pPr>
    <w:tblPr>
      <w:tblCellMar>
        <w:top w:w="0" w:type="dxa"/>
        <w:left w:w="0" w:type="dxa"/>
        <w:bottom w:w="0" w:type="dxa"/>
        <w:right w:w="0" w:type="dxa"/>
      </w:tblCellMar>
    </w:tblPr>
  </w:style>
  <w:style w:type="table" w:customStyle="1" w:styleId="TableGrid2">
    <w:name w:val="TableGrid2"/>
    <w:rsid w:val="002111CC"/>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3B24D1"/>
    <w:rPr>
      <w:color w:val="605E5C"/>
      <w:shd w:val="clear" w:color="auto" w:fill="E1DFDD"/>
    </w:rPr>
  </w:style>
  <w:style w:type="numbering" w:customStyle="1" w:styleId="Semlista2">
    <w:name w:val="Sem lista2"/>
    <w:next w:val="Semlista"/>
    <w:uiPriority w:val="99"/>
    <w:semiHidden/>
    <w:unhideWhenUsed/>
    <w:rsid w:val="007270D0"/>
  </w:style>
  <w:style w:type="paragraph" w:customStyle="1" w:styleId="LpargrafoParecer">
    <w:name w:val="L_parágrafo_Parecer"/>
    <w:basedOn w:val="Cabealho"/>
    <w:link w:val="LpargrafoParecerChar"/>
    <w:autoRedefine/>
    <w:qFormat/>
    <w:rsid w:val="007270D0"/>
    <w:pPr>
      <w:numPr>
        <w:numId w:val="15"/>
      </w:numPr>
      <w:tabs>
        <w:tab w:val="clear" w:pos="4252"/>
        <w:tab w:val="clear" w:pos="8504"/>
        <w:tab w:val="left" w:pos="1418"/>
      </w:tabs>
      <w:spacing w:after="240"/>
      <w:ind w:left="0" w:firstLine="0"/>
    </w:pPr>
    <w:rPr>
      <w:rFonts w:cs="Times New Roman"/>
      <w:sz w:val="24"/>
      <w:szCs w:val="24"/>
      <w:lang w:eastAsia="en-US"/>
    </w:rPr>
  </w:style>
  <w:style w:type="character" w:customStyle="1" w:styleId="LpargrafoParecerChar">
    <w:name w:val="L_parágrafo_Parecer Char"/>
    <w:basedOn w:val="CabealhoChar"/>
    <w:link w:val="LpargrafoParecer"/>
    <w:rsid w:val="007270D0"/>
    <w:rPr>
      <w:rFonts w:ascii="Calibri" w:eastAsia="Calibri" w:hAnsi="Calibri" w:cs="Times New Roman"/>
      <w:color w:val="000000"/>
      <w:sz w:val="24"/>
      <w:szCs w:val="24"/>
      <w:lang w:eastAsia="en-US"/>
    </w:rPr>
  </w:style>
  <w:style w:type="paragraph" w:customStyle="1" w:styleId="paragraph">
    <w:name w:val="paragraph"/>
    <w:basedOn w:val="Normal"/>
    <w:rsid w:val="007270D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7270D0"/>
  </w:style>
  <w:style w:type="paragraph" w:styleId="SemEspaamento">
    <w:name w:val="No Spacing"/>
    <w:uiPriority w:val="1"/>
    <w:qFormat/>
    <w:rsid w:val="007270D0"/>
    <w:pPr>
      <w:spacing w:after="0" w:line="240" w:lineRule="auto"/>
    </w:pPr>
    <w:rPr>
      <w:rFonts w:eastAsia="Calibri"/>
      <w:lang w:eastAsia="en-US"/>
    </w:rPr>
  </w:style>
  <w:style w:type="character" w:customStyle="1" w:styleId="eop">
    <w:name w:val="eop"/>
    <w:basedOn w:val="Fontepargpadro"/>
    <w:rsid w:val="007270D0"/>
  </w:style>
  <w:style w:type="paragraph" w:customStyle="1" w:styleId="LO-Normal">
    <w:name w:val="LO-Normal"/>
    <w:qFormat/>
    <w:rsid w:val="007270D0"/>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customStyle="1" w:styleId="HiperlinkVisitado1">
    <w:name w:val="HiperlinkVisitado1"/>
    <w:basedOn w:val="Fontepargpadro"/>
    <w:uiPriority w:val="99"/>
    <w:semiHidden/>
    <w:unhideWhenUsed/>
    <w:rsid w:val="007270D0"/>
    <w:rPr>
      <w:color w:val="954F72"/>
      <w:u w:val="single"/>
    </w:rPr>
  </w:style>
  <w:style w:type="paragraph" w:customStyle="1" w:styleId="Estilo1">
    <w:name w:val="Estilo1"/>
    <w:basedOn w:val="Normal"/>
    <w:link w:val="Estilo1Char"/>
    <w:qFormat/>
    <w:rsid w:val="007270D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pPr>
    <w:rPr>
      <w:rFonts w:ascii="Arial" w:hAnsi="Arial" w:cs="Arial"/>
      <w:i/>
      <w:iCs/>
      <w:color w:val="auto"/>
      <w:sz w:val="20"/>
      <w:szCs w:val="20"/>
      <w:lang w:eastAsia="en-US"/>
    </w:rPr>
  </w:style>
  <w:style w:type="character" w:customStyle="1" w:styleId="Estilo1Char">
    <w:name w:val="Estilo1 Char"/>
    <w:basedOn w:val="Fontepargpadro"/>
    <w:link w:val="Estilo1"/>
    <w:rsid w:val="007270D0"/>
    <w:rPr>
      <w:rFonts w:ascii="Arial" w:eastAsia="Calibri" w:hAnsi="Arial" w:cs="Arial"/>
      <w:i/>
      <w:iCs/>
      <w:sz w:val="20"/>
      <w:szCs w:val="20"/>
      <w:shd w:val="clear" w:color="auto" w:fill="FFFFCC"/>
      <w:lang w:eastAsia="en-US"/>
    </w:rPr>
  </w:style>
  <w:style w:type="character" w:styleId="HiperlinkVisitado">
    <w:name w:val="FollowedHyperlink"/>
    <w:basedOn w:val="Fontepargpadro"/>
    <w:uiPriority w:val="99"/>
    <w:semiHidden/>
    <w:unhideWhenUsed/>
    <w:rsid w:val="007270D0"/>
    <w:rPr>
      <w:color w:val="954F72" w:themeColor="followedHyperlink"/>
      <w:u w:val="single"/>
    </w:rPr>
  </w:style>
  <w:style w:type="paragraph" w:styleId="CabealhodoSumrio">
    <w:name w:val="TOC Heading"/>
    <w:basedOn w:val="Ttulo1"/>
    <w:next w:val="Normal"/>
    <w:uiPriority w:val="39"/>
    <w:unhideWhenUsed/>
    <w:qFormat/>
    <w:rsid w:val="000B31B3"/>
    <w:pPr>
      <w:spacing w:before="240" w:line="259" w:lineRule="auto"/>
      <w:ind w:left="0" w:right="0" w:firstLine="0"/>
      <w:jc w:val="left"/>
      <w:outlineLvl w:val="9"/>
    </w:pPr>
    <w:rPr>
      <w:rFonts w:asciiTheme="majorHAnsi" w:eastAsiaTheme="majorEastAsia" w:hAnsiTheme="majorHAnsi" w:cstheme="majorBidi"/>
      <w:color w:val="2F5496" w:themeColor="accent1" w:themeShade="BF"/>
      <w:sz w:val="32"/>
      <w:szCs w:val="32"/>
      <w:u w:val="none"/>
    </w:rPr>
  </w:style>
  <w:style w:type="paragraph" w:styleId="Sumrio1">
    <w:name w:val="toc 1"/>
    <w:basedOn w:val="Normal"/>
    <w:next w:val="Normal"/>
    <w:autoRedefine/>
    <w:uiPriority w:val="39"/>
    <w:unhideWhenUsed/>
    <w:rsid w:val="004E1741"/>
    <w:pPr>
      <w:tabs>
        <w:tab w:val="right" w:leader="dot" w:pos="9639"/>
      </w:tabs>
      <w:spacing w:after="100" w:line="259" w:lineRule="auto"/>
      <w:ind w:left="0" w:firstLine="0"/>
      <w:jc w:val="left"/>
    </w:pPr>
    <w:rPr>
      <w:rFonts w:asciiTheme="minorHAnsi" w:eastAsiaTheme="minorHAnsi" w:hAnsiTheme="minorHAnsi" w:cstheme="minorBidi"/>
      <w:color w:val="auto"/>
      <w:sz w:val="22"/>
      <w:lang w:eastAsia="en-US"/>
    </w:rPr>
  </w:style>
  <w:style w:type="paragraph" w:styleId="Sumrio2">
    <w:name w:val="toc 2"/>
    <w:basedOn w:val="Normal"/>
    <w:next w:val="Normal"/>
    <w:autoRedefine/>
    <w:uiPriority w:val="39"/>
    <w:unhideWhenUsed/>
    <w:rsid w:val="000B31B3"/>
    <w:pPr>
      <w:spacing w:after="100" w:line="259" w:lineRule="auto"/>
      <w:ind w:left="220" w:firstLine="0"/>
      <w:jc w:val="left"/>
    </w:pPr>
    <w:rPr>
      <w:rFonts w:asciiTheme="minorHAnsi" w:eastAsiaTheme="minorHAnsi" w:hAnsiTheme="minorHAnsi" w:cstheme="minorBidi"/>
      <w:color w:val="auto"/>
      <w:sz w:val="22"/>
      <w:lang w:eastAsia="en-US"/>
    </w:rPr>
  </w:style>
  <w:style w:type="table" w:customStyle="1" w:styleId="Tabelacomgrade4">
    <w:name w:val="Tabela com grade4"/>
    <w:basedOn w:val="Tabelanormal"/>
    <w:next w:val="Tabelacomgrade"/>
    <w:rsid w:val="001A3041"/>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9073">
      <w:bodyDiv w:val="1"/>
      <w:marLeft w:val="0"/>
      <w:marRight w:val="0"/>
      <w:marTop w:val="0"/>
      <w:marBottom w:val="0"/>
      <w:divBdr>
        <w:top w:val="none" w:sz="0" w:space="0" w:color="auto"/>
        <w:left w:val="none" w:sz="0" w:space="0" w:color="auto"/>
        <w:bottom w:val="none" w:sz="0" w:space="0" w:color="auto"/>
        <w:right w:val="none" w:sz="0" w:space="0" w:color="auto"/>
      </w:divBdr>
    </w:div>
    <w:div w:id="986082270">
      <w:bodyDiv w:val="1"/>
      <w:marLeft w:val="0"/>
      <w:marRight w:val="0"/>
      <w:marTop w:val="0"/>
      <w:marBottom w:val="0"/>
      <w:divBdr>
        <w:top w:val="none" w:sz="0" w:space="0" w:color="auto"/>
        <w:left w:val="none" w:sz="0" w:space="0" w:color="auto"/>
        <w:bottom w:val="none" w:sz="0" w:space="0" w:color="auto"/>
        <w:right w:val="none" w:sz="0" w:space="0" w:color="auto"/>
      </w:divBdr>
    </w:div>
    <w:div w:id="1115372766">
      <w:bodyDiv w:val="1"/>
      <w:marLeft w:val="0"/>
      <w:marRight w:val="0"/>
      <w:marTop w:val="0"/>
      <w:marBottom w:val="0"/>
      <w:divBdr>
        <w:top w:val="none" w:sz="0" w:space="0" w:color="auto"/>
        <w:left w:val="none" w:sz="0" w:space="0" w:color="auto"/>
        <w:bottom w:val="none" w:sz="0" w:space="0" w:color="auto"/>
        <w:right w:val="none" w:sz="0" w:space="0" w:color="auto"/>
      </w:divBdr>
    </w:div>
    <w:div w:id="1557275629">
      <w:bodyDiv w:val="1"/>
      <w:marLeft w:val="0"/>
      <w:marRight w:val="0"/>
      <w:marTop w:val="0"/>
      <w:marBottom w:val="0"/>
      <w:divBdr>
        <w:top w:val="none" w:sz="0" w:space="0" w:color="auto"/>
        <w:left w:val="none" w:sz="0" w:space="0" w:color="auto"/>
        <w:bottom w:val="none" w:sz="0" w:space="0" w:color="auto"/>
        <w:right w:val="none" w:sz="0" w:space="0" w:color="auto"/>
      </w:divBdr>
    </w:div>
    <w:div w:id="158560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agriculturafamiliar.gov.br" TargetMode="External"/><Relationship Id="rId13" Type="http://schemas.openxmlformats.org/officeDocument/2006/relationships/hyperlink" Target="https://certidoes-apf.apps.tcu.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as.tcu.gov.br/ords/f?p=INABILITADO:INABILITA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ords/f?p=INABILITADO:INIDONE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nj.jus.br/improbidade_adm/consultar_requerido.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35F0-1869-4A16-A710-BB9915D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4707</TotalTime>
  <Pages>17</Pages>
  <Words>7297</Words>
  <Characters>39408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RO</dc:creator>
  <cp:keywords/>
  <cp:lastModifiedBy>Jeferson Schurmann</cp:lastModifiedBy>
  <cp:revision>103</cp:revision>
  <cp:lastPrinted>2020-10-29T16:19:00Z</cp:lastPrinted>
  <dcterms:created xsi:type="dcterms:W3CDTF">2020-05-25T14:49:00Z</dcterms:created>
  <dcterms:modified xsi:type="dcterms:W3CDTF">2020-12-04T04:07:00Z</dcterms:modified>
</cp:coreProperties>
</file>